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FC" w:rsidRDefault="000309FC" w:rsidP="000309FC">
      <w:proofErr w:type="gramStart"/>
      <w:r>
        <w:rPr>
          <w:rStyle w:val="char-style-override-1"/>
          <w:rFonts w:ascii="Times New Roman" w:eastAsia="細明體" w:hAnsi="Times New Roman" w:hint="eastAsia"/>
          <w:sz w:val="28"/>
          <w:szCs w:val="28"/>
          <w:lang w:eastAsia="zh-HK"/>
        </w:rPr>
        <w:t>持份者</w:t>
      </w:r>
      <w:r>
        <w:rPr>
          <w:rStyle w:val="char-style-override-1"/>
          <w:rFonts w:ascii="Times New Roman" w:eastAsia="細明體" w:hAnsi="Times New Roman" w:hint="eastAsia"/>
          <w:sz w:val="28"/>
          <w:szCs w:val="28"/>
        </w:rPr>
        <w:t>爭議</w:t>
      </w:r>
      <w:proofErr w:type="gramEnd"/>
      <w:r>
        <w:rPr>
          <w:rStyle w:val="char-style-override-1"/>
          <w:rFonts w:ascii="Times New Roman" w:eastAsia="細明體" w:hAnsi="Times New Roman" w:hint="eastAsia"/>
          <w:sz w:val="28"/>
          <w:szCs w:val="28"/>
        </w:rPr>
        <w:t>(</w:t>
      </w:r>
      <w:r>
        <w:rPr>
          <w:rStyle w:val="char-style-override-1"/>
          <w:rFonts w:ascii="Times New Roman" w:eastAsia="細明體" w:hAnsi="Times New Roman" w:hint="eastAsia"/>
          <w:sz w:val="28"/>
          <w:szCs w:val="28"/>
        </w:rPr>
        <w:t>衝突</w:t>
      </w:r>
      <w:r>
        <w:rPr>
          <w:rStyle w:val="char-style-override-1"/>
          <w:rFonts w:ascii="Times New Roman" w:eastAsia="細明體" w:hAnsi="Times New Roman" w:hint="eastAsia"/>
          <w:sz w:val="28"/>
          <w:szCs w:val="28"/>
        </w:rPr>
        <w:t>/</w:t>
      </w:r>
      <w:r>
        <w:rPr>
          <w:rStyle w:val="char-style-override-1"/>
          <w:rFonts w:ascii="Times New Roman" w:eastAsia="細明體" w:hAnsi="Times New Roman" w:hint="eastAsia"/>
          <w:sz w:val="28"/>
          <w:szCs w:val="28"/>
        </w:rPr>
        <w:t>矛盾</w:t>
      </w:r>
      <w:r>
        <w:rPr>
          <w:rStyle w:val="char-style-override-1"/>
          <w:rFonts w:ascii="Times New Roman" w:eastAsia="細明體" w:hAnsi="Times New Roman" w:hint="eastAsia"/>
          <w:sz w:val="28"/>
          <w:szCs w:val="28"/>
        </w:rPr>
        <w:t>)</w:t>
      </w:r>
      <w:r>
        <w:rPr>
          <w:rStyle w:val="char-style-override-1"/>
          <w:rFonts w:ascii="Times New Roman" w:eastAsia="細明體" w:hAnsi="Times New Roman"/>
          <w:sz w:val="28"/>
          <w:szCs w:val="28"/>
        </w:rPr>
        <w:t xml:space="preserve"> </w:t>
      </w:r>
    </w:p>
    <w:p w:rsidR="000309FC" w:rsidRPr="000309FC" w:rsidRDefault="000309FC" w:rsidP="000309FC">
      <w:pPr>
        <w:jc w:val="both"/>
        <w:rPr>
          <w:rFonts w:hint="eastAsia"/>
        </w:rPr>
      </w:pPr>
      <w:proofErr w:type="gramStart"/>
      <w:r w:rsidRPr="00202F76">
        <w:t>持份者衝突</w:t>
      </w:r>
      <w:proofErr w:type="gramEnd"/>
      <w:r w:rsidRPr="00202F76">
        <w:t>一般</w:t>
      </w:r>
      <w:r>
        <w:rPr>
          <w:rFonts w:hint="eastAsia"/>
          <w:lang w:eastAsia="zh-HK"/>
        </w:rPr>
        <w:t>為</w:t>
      </w:r>
      <w:r w:rsidRPr="00202F76">
        <w:t>利益衝突、價值觀衝突、期望衝突</w:t>
      </w:r>
      <w:r>
        <w:rPr>
          <w:rFonts w:hint="eastAsia"/>
          <w:lang w:eastAsia="zh-HK"/>
        </w:rPr>
        <w:t>、角色衝突</w:t>
      </w:r>
      <w:r w:rsidRPr="005C19CF">
        <w:rPr>
          <w:rFonts w:hint="eastAsia"/>
          <w:lang w:eastAsia="zh-HK"/>
        </w:rPr>
        <w:t>、理念差異、訴求</w:t>
      </w:r>
      <w:proofErr w:type="gramStart"/>
      <w:r w:rsidRPr="005C19CF">
        <w:rPr>
          <w:rFonts w:hint="eastAsia"/>
          <w:lang w:eastAsia="zh-HK"/>
        </w:rPr>
        <w:t>不</w:t>
      </w:r>
      <w:proofErr w:type="gramEnd"/>
      <w:r w:rsidRPr="005C19CF">
        <w:rPr>
          <w:rFonts w:hint="eastAsia"/>
          <w:lang w:eastAsia="zh-HK"/>
        </w:rPr>
        <w:t>同等</w:t>
      </w:r>
      <w:r w:rsidRPr="005C19CF">
        <w:t>。</w:t>
      </w:r>
      <w:r w:rsidRPr="00202F76">
        <w:t>學生</w:t>
      </w:r>
      <w:r>
        <w:rPr>
          <w:rFonts w:hint="eastAsia"/>
          <w:lang w:eastAsia="zh-HK"/>
        </w:rPr>
        <w:t>在回答</w:t>
      </w:r>
      <w:proofErr w:type="gramStart"/>
      <w:r>
        <w:rPr>
          <w:rFonts w:hint="eastAsia"/>
          <w:lang w:eastAsia="zh-HK"/>
        </w:rPr>
        <w:t>持份者衝突</w:t>
      </w:r>
      <w:proofErr w:type="gramEnd"/>
      <w:r>
        <w:rPr>
          <w:rFonts w:hint="eastAsia"/>
          <w:lang w:eastAsia="zh-HK"/>
        </w:rPr>
        <w:t>題時，</w:t>
      </w:r>
      <w:r w:rsidRPr="00202F76">
        <w:t>應把</w:t>
      </w:r>
      <w:r>
        <w:rPr>
          <w:rFonts w:hint="eastAsia"/>
          <w:lang w:eastAsia="zh-HK"/>
        </w:rPr>
        <w:t>對某議題出現</w:t>
      </w:r>
      <w:r w:rsidRPr="00202F76">
        <w:t>衝突及矛盾的</w:t>
      </w:r>
      <w:proofErr w:type="gramStart"/>
      <w:r w:rsidRPr="00202F76">
        <w:t>持份者配對</w:t>
      </w:r>
      <w:proofErr w:type="gramEnd"/>
      <w:r w:rsidRPr="00202F76">
        <w:t>起來，指出及說明雙方的衝突</w:t>
      </w:r>
      <w:r>
        <w:rPr>
          <w:rFonts w:hint="eastAsia"/>
          <w:lang w:eastAsia="zh-HK"/>
        </w:rPr>
        <w:t>點</w:t>
      </w:r>
      <w:r w:rsidRPr="00202F76">
        <w:t>，並附以相關的資料或例子。學生切忌只是分別</w:t>
      </w:r>
      <w:proofErr w:type="gramStart"/>
      <w:r w:rsidRPr="00202F76">
        <w:t>臚</w:t>
      </w:r>
      <w:proofErr w:type="gramEnd"/>
      <w:r w:rsidRPr="00202F76">
        <w:t>列各</w:t>
      </w:r>
      <w:proofErr w:type="gramStart"/>
      <w:r w:rsidRPr="00202F76">
        <w:t>持份者的</w:t>
      </w:r>
      <w:proofErr w:type="gramEnd"/>
      <w:r w:rsidRPr="00202F76">
        <w:t>觀點立場。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6861"/>
      </w:tblGrid>
      <w:tr w:rsidR="000309FC" w:rsidRPr="00DE6501" w:rsidTr="00E61C5E">
        <w:tc>
          <w:tcPr>
            <w:tcW w:w="2694" w:type="dxa"/>
            <w:shd w:val="clear" w:color="auto" w:fill="BFBFBF"/>
            <w:vAlign w:val="center"/>
          </w:tcPr>
          <w:p w:rsidR="000309FC" w:rsidRPr="008E4193" w:rsidRDefault="000309FC" w:rsidP="00E61C5E">
            <w:pPr>
              <w:widowControl/>
              <w:spacing w:line="75" w:lineRule="atLeast"/>
              <w:jc w:val="center"/>
              <w:rPr>
                <w:rFonts w:ascii="Arial" w:eastAsia="Times New Roman" w:hAnsi="Arial" w:cs="Arial"/>
                <w:b/>
                <w:color w:val="000000"/>
                <w:kern w:val="0"/>
                <w:szCs w:val="24"/>
                <w:highlight w:val="lightGray"/>
              </w:rPr>
            </w:pPr>
            <w:r w:rsidRPr="008E4193">
              <w:rPr>
                <w:rFonts w:ascii="細明體" w:eastAsia="細明體" w:hAnsi="細明體" w:cs="細明體" w:hint="eastAsia"/>
                <w:b/>
                <w:color w:val="000000"/>
                <w:kern w:val="0"/>
                <w:szCs w:val="24"/>
                <w:highlight w:val="lightGray"/>
              </w:rPr>
              <w:t>常見價值</w:t>
            </w:r>
            <w:r w:rsidRPr="008E4193">
              <w:rPr>
                <w:rFonts w:ascii="細明體" w:eastAsia="細明體" w:hAnsi="細明體" w:cs="細明體"/>
                <w:b/>
                <w:color w:val="000000"/>
                <w:kern w:val="0"/>
                <w:szCs w:val="24"/>
                <w:highlight w:val="lightGray"/>
              </w:rPr>
              <w:t>觀</w:t>
            </w:r>
          </w:p>
        </w:tc>
        <w:tc>
          <w:tcPr>
            <w:tcW w:w="6945" w:type="dxa"/>
            <w:shd w:val="clear" w:color="auto" w:fill="BFBFBF"/>
            <w:vAlign w:val="center"/>
          </w:tcPr>
          <w:p w:rsidR="000309FC" w:rsidRPr="00DE6501" w:rsidRDefault="000309FC" w:rsidP="00E61C5E">
            <w:pPr>
              <w:widowControl/>
              <w:spacing w:line="75" w:lineRule="atLeast"/>
              <w:jc w:val="center"/>
              <w:rPr>
                <w:rFonts w:ascii="Arial" w:eastAsia="Times New Roman" w:hAnsi="Arial" w:cs="Arial"/>
                <w:b/>
                <w:color w:val="000000"/>
                <w:kern w:val="0"/>
                <w:szCs w:val="24"/>
                <w:highlight w:val="lightGray"/>
              </w:rPr>
            </w:pPr>
            <w:r w:rsidRPr="00DE6501">
              <w:rPr>
                <w:rFonts w:ascii="細明體" w:eastAsia="細明體" w:hAnsi="細明體" w:cs="細明體"/>
                <w:b/>
                <w:color w:val="000000"/>
                <w:kern w:val="0"/>
                <w:szCs w:val="24"/>
                <w:highlight w:val="lightGray"/>
              </w:rPr>
              <w:t>例子</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hint="eastAsia"/>
                <w:b/>
                <w:color w:val="000000"/>
                <w:kern w:val="0"/>
                <w:szCs w:val="24"/>
                <w:highlight w:val="lightGray"/>
              </w:rPr>
            </w:pPr>
            <w:r w:rsidRPr="008E4193">
              <w:rPr>
                <w:rFonts w:ascii="細明體" w:eastAsia="細明體" w:hAnsi="細明體" w:cs="細明體" w:hint="eastAsia"/>
                <w:b/>
                <w:color w:val="000000"/>
                <w:kern w:val="0"/>
                <w:szCs w:val="24"/>
                <w:lang w:eastAsia="zh-HK"/>
              </w:rPr>
              <w:t>重視集</w:t>
            </w:r>
            <w:r w:rsidRPr="008E4193">
              <w:rPr>
                <w:rFonts w:ascii="細明體" w:eastAsia="細明體" w:hAnsi="細明體" w:cs="細明體"/>
                <w:b/>
                <w:color w:val="000000"/>
                <w:kern w:val="0"/>
                <w:szCs w:val="24"/>
              </w:rPr>
              <w:t>體利益</w:t>
            </w:r>
          </w:p>
        </w:tc>
        <w:tc>
          <w:tcPr>
            <w:tcW w:w="6945" w:type="dxa"/>
            <w:shd w:val="clear" w:color="auto" w:fill="FFFFFF"/>
            <w:vAlign w:val="center"/>
          </w:tcPr>
          <w:p w:rsidR="000309FC" w:rsidRPr="006A6040" w:rsidRDefault="000309FC" w:rsidP="000309FC">
            <w:pPr>
              <w:numPr>
                <w:ilvl w:val="0"/>
                <w:numId w:val="1"/>
              </w:numPr>
              <w:jc w:val="both"/>
              <w:rPr>
                <w:rFonts w:hint="eastAsia"/>
              </w:rPr>
            </w:pPr>
            <w:proofErr w:type="gramStart"/>
            <w:r w:rsidRPr="006A6040">
              <w:t>就基建</w:t>
            </w:r>
            <w:proofErr w:type="gramEnd"/>
            <w:r w:rsidRPr="006A6040">
              <w:t>、市區重</w:t>
            </w:r>
            <w:r>
              <w:t>建或保育等議題，認為當局的方案</w:t>
            </w:r>
            <w:r>
              <w:rPr>
                <w:rFonts w:hint="eastAsia"/>
                <w:lang w:eastAsia="zh-HK"/>
              </w:rPr>
              <w:t>有利社會</w:t>
            </w:r>
            <w:r>
              <w:t>整體</w:t>
            </w:r>
            <w:r>
              <w:rPr>
                <w:rFonts w:hint="eastAsia"/>
                <w:lang w:eastAsia="zh-HK"/>
              </w:rPr>
              <w:t>發展</w:t>
            </w:r>
            <w:r>
              <w:t>，</w:t>
            </w:r>
            <w:r>
              <w:rPr>
                <w:rFonts w:hint="eastAsia"/>
                <w:lang w:eastAsia="zh-HK"/>
              </w:rPr>
              <w:t>居民應</w:t>
            </w:r>
            <w:r>
              <w:t>接受</w:t>
            </w:r>
            <w:r>
              <w:rPr>
                <w:rFonts w:hint="eastAsia"/>
                <w:lang w:eastAsia="zh-HK"/>
              </w:rPr>
              <w:t>相關</w:t>
            </w:r>
            <w:r>
              <w:t>方案。</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hint="eastAsia"/>
                <w:b/>
                <w:color w:val="000000"/>
                <w:kern w:val="0"/>
                <w:szCs w:val="24"/>
                <w:lang w:eastAsia="zh-HK"/>
              </w:rPr>
            </w:pPr>
            <w:r w:rsidRPr="008E4193">
              <w:rPr>
                <w:rFonts w:ascii="細明體" w:eastAsia="細明體" w:hAnsi="細明體" w:cs="細明體" w:hint="eastAsia"/>
                <w:b/>
                <w:color w:val="000000"/>
                <w:kern w:val="0"/>
                <w:szCs w:val="24"/>
                <w:lang w:eastAsia="zh-HK"/>
              </w:rPr>
              <w:t>重視</w:t>
            </w:r>
            <w:r w:rsidRPr="008E4193">
              <w:rPr>
                <w:rFonts w:ascii="細明體" w:eastAsia="細明體" w:hAnsi="細明體" w:cs="細明體"/>
                <w:b/>
                <w:color w:val="000000"/>
                <w:kern w:val="0"/>
                <w:szCs w:val="24"/>
              </w:rPr>
              <w:t>個人利益</w:t>
            </w:r>
          </w:p>
        </w:tc>
        <w:tc>
          <w:tcPr>
            <w:tcW w:w="6945" w:type="dxa"/>
            <w:shd w:val="clear" w:color="auto" w:fill="FFFFFF"/>
            <w:vAlign w:val="center"/>
          </w:tcPr>
          <w:p w:rsidR="000309FC" w:rsidRPr="006A6040" w:rsidRDefault="000309FC" w:rsidP="000309FC">
            <w:pPr>
              <w:numPr>
                <w:ilvl w:val="0"/>
                <w:numId w:val="1"/>
              </w:numPr>
              <w:jc w:val="both"/>
            </w:pPr>
            <w:proofErr w:type="gramStart"/>
            <w:r w:rsidRPr="006A6040">
              <w:t>就基建</w:t>
            </w:r>
            <w:proofErr w:type="gramEnd"/>
            <w:r w:rsidRPr="006A6040">
              <w:t>、市區重</w:t>
            </w:r>
            <w:r>
              <w:t>建或保育等議題，</w:t>
            </w:r>
            <w:r>
              <w:rPr>
                <w:rFonts w:hint="eastAsia"/>
                <w:lang w:eastAsia="zh-HK"/>
              </w:rPr>
              <w:t>認為當局的方案會損害</w:t>
            </w:r>
            <w:r w:rsidRPr="002F06BB">
              <w:t>個人利益</w:t>
            </w:r>
            <w:r>
              <w:t>，</w:t>
            </w:r>
            <w:r w:rsidRPr="002F06BB">
              <w:t>居民有權反對。</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hint="eastAsia"/>
                <w:b/>
                <w:color w:val="000000"/>
                <w:kern w:val="0"/>
                <w:szCs w:val="24"/>
                <w:lang w:eastAsia="zh-HK"/>
              </w:rPr>
            </w:pPr>
            <w:r w:rsidRPr="008E4193">
              <w:rPr>
                <w:rFonts w:ascii="細明體" w:eastAsia="細明體" w:hAnsi="細明體" w:cs="細明體" w:hint="eastAsia"/>
                <w:b/>
                <w:color w:val="000000"/>
                <w:kern w:val="0"/>
                <w:szCs w:val="24"/>
                <w:lang w:eastAsia="zh-HK"/>
              </w:rPr>
              <w:t>重視</w:t>
            </w:r>
            <w:r w:rsidRPr="008E4193">
              <w:rPr>
                <w:rFonts w:ascii="細明體" w:eastAsia="細明體" w:hAnsi="細明體" w:cs="細明體"/>
                <w:b/>
                <w:color w:val="000000"/>
                <w:kern w:val="0"/>
                <w:szCs w:val="24"/>
              </w:rPr>
              <w:t>長遠效益</w:t>
            </w:r>
          </w:p>
        </w:tc>
        <w:tc>
          <w:tcPr>
            <w:tcW w:w="6945" w:type="dxa"/>
            <w:shd w:val="clear" w:color="auto" w:fill="FFFFFF"/>
            <w:vAlign w:val="center"/>
          </w:tcPr>
          <w:p w:rsidR="000309FC" w:rsidRPr="006A6040" w:rsidRDefault="000309FC" w:rsidP="000309FC">
            <w:pPr>
              <w:numPr>
                <w:ilvl w:val="0"/>
                <w:numId w:val="1"/>
              </w:numPr>
              <w:jc w:val="both"/>
            </w:pPr>
            <w:r w:rsidRPr="002F06BB">
              <w:t>主張發展可再生能源以取代化石燃料，</w:t>
            </w:r>
            <w:r>
              <w:rPr>
                <w:rFonts w:hint="eastAsia"/>
                <w:lang w:eastAsia="zh-HK"/>
              </w:rPr>
              <w:t>因為可再生能源用之不盡</w:t>
            </w:r>
            <w:r w:rsidRPr="002F06BB">
              <w:t>，能帶來長遠效益，推動可持續發展。</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hint="eastAsia"/>
                <w:b/>
                <w:color w:val="000000"/>
                <w:kern w:val="0"/>
                <w:szCs w:val="24"/>
                <w:lang w:eastAsia="zh-HK"/>
              </w:rPr>
            </w:pPr>
            <w:r w:rsidRPr="008E4193">
              <w:rPr>
                <w:rFonts w:ascii="細明體" w:eastAsia="細明體" w:hAnsi="細明體" w:cs="細明體" w:hint="eastAsia"/>
                <w:b/>
                <w:color w:val="000000"/>
                <w:kern w:val="0"/>
                <w:szCs w:val="24"/>
                <w:lang w:eastAsia="zh-HK"/>
              </w:rPr>
              <w:t>重視</w:t>
            </w:r>
            <w:r w:rsidRPr="008E4193">
              <w:rPr>
                <w:rFonts w:ascii="細明體" w:eastAsia="細明體" w:hAnsi="細明體" w:cs="細明體"/>
                <w:b/>
                <w:color w:val="000000"/>
                <w:kern w:val="0"/>
                <w:szCs w:val="24"/>
              </w:rPr>
              <w:t>短期</w:t>
            </w:r>
            <w:r w:rsidRPr="008E4193">
              <w:rPr>
                <w:rFonts w:ascii="細明體" w:eastAsia="細明體" w:hAnsi="細明體" w:cs="細明體" w:hint="eastAsia"/>
                <w:b/>
                <w:color w:val="000000"/>
                <w:kern w:val="0"/>
                <w:szCs w:val="24"/>
              </w:rPr>
              <w:t xml:space="preserve"> / </w:t>
            </w:r>
            <w:r w:rsidRPr="008E4193">
              <w:rPr>
                <w:rFonts w:ascii="細明體" w:eastAsia="細明體" w:hAnsi="細明體" w:cs="細明體"/>
                <w:b/>
                <w:color w:val="000000"/>
                <w:kern w:val="0"/>
                <w:szCs w:val="24"/>
              </w:rPr>
              <w:t>即時效益</w:t>
            </w:r>
          </w:p>
        </w:tc>
        <w:tc>
          <w:tcPr>
            <w:tcW w:w="6945" w:type="dxa"/>
            <w:shd w:val="clear" w:color="auto" w:fill="FFFFFF"/>
            <w:vAlign w:val="center"/>
          </w:tcPr>
          <w:p w:rsidR="000309FC" w:rsidRPr="006A6040" w:rsidRDefault="000309FC" w:rsidP="000309FC">
            <w:pPr>
              <w:numPr>
                <w:ilvl w:val="0"/>
                <w:numId w:val="1"/>
              </w:numPr>
              <w:jc w:val="both"/>
            </w:pPr>
            <w:r w:rsidRPr="002F06BB">
              <w:t>支持繼續使用化石燃料，</w:t>
            </w:r>
            <w:r>
              <w:rPr>
                <w:rFonts w:hint="eastAsia"/>
                <w:lang w:eastAsia="zh-HK"/>
              </w:rPr>
              <w:t>因為化石燃料開採技術成熟，容易使用，</w:t>
            </w:r>
            <w:r w:rsidRPr="002F06BB">
              <w:t>有利於當前經濟發展。</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hint="eastAsia"/>
                <w:b/>
                <w:color w:val="000000"/>
                <w:kern w:val="0"/>
                <w:szCs w:val="24"/>
                <w:lang w:eastAsia="zh-HK"/>
              </w:rPr>
            </w:pPr>
            <w:r w:rsidRPr="008E4193">
              <w:rPr>
                <w:rFonts w:ascii="細明體" w:eastAsia="細明體" w:hAnsi="細明體" w:cs="細明體"/>
                <w:b/>
                <w:color w:val="000000"/>
                <w:kern w:val="0"/>
                <w:szCs w:val="24"/>
              </w:rPr>
              <w:t>重視經濟發展</w:t>
            </w:r>
            <w:r w:rsidRPr="008E4193">
              <w:rPr>
                <w:rFonts w:ascii="細明體" w:eastAsia="細明體" w:hAnsi="細明體" w:cs="細明體" w:hint="eastAsia"/>
                <w:b/>
                <w:color w:val="000000"/>
                <w:kern w:val="0"/>
                <w:szCs w:val="24"/>
              </w:rPr>
              <w:t xml:space="preserve"> /</w:t>
            </w:r>
            <w:r w:rsidRPr="008E4193">
              <w:rPr>
                <w:rFonts w:ascii="細明體" w:eastAsia="細明體" w:hAnsi="細明體" w:cs="細明體"/>
                <w:b/>
                <w:color w:val="000000"/>
                <w:kern w:val="0"/>
                <w:szCs w:val="24"/>
              </w:rPr>
              <w:t xml:space="preserve"> 物質生活</w:t>
            </w:r>
            <w:r w:rsidRPr="008E4193">
              <w:rPr>
                <w:rFonts w:ascii="細明體" w:eastAsia="細明體" w:hAnsi="細明體" w:cs="細明體" w:hint="eastAsia"/>
                <w:b/>
                <w:color w:val="000000"/>
                <w:kern w:val="0"/>
                <w:szCs w:val="24"/>
              </w:rPr>
              <w:t xml:space="preserve"> /</w:t>
            </w:r>
            <w:r w:rsidRPr="008E4193">
              <w:rPr>
                <w:rFonts w:ascii="細明體" w:eastAsia="細明體" w:hAnsi="細明體" w:cs="細明體"/>
                <w:b/>
                <w:color w:val="000000"/>
                <w:kern w:val="0"/>
                <w:szCs w:val="24"/>
              </w:rPr>
              <w:t xml:space="preserve"> </w:t>
            </w:r>
            <w:r w:rsidRPr="008E4193">
              <w:rPr>
                <w:rFonts w:ascii="細明體" w:eastAsia="細明體" w:hAnsi="細明體" w:cs="細明體" w:hint="eastAsia"/>
                <w:b/>
                <w:color w:val="000000"/>
                <w:kern w:val="0"/>
                <w:szCs w:val="24"/>
                <w:lang w:eastAsia="zh-HK"/>
              </w:rPr>
              <w:t>精神生活</w:t>
            </w:r>
          </w:p>
        </w:tc>
        <w:tc>
          <w:tcPr>
            <w:tcW w:w="6945" w:type="dxa"/>
            <w:shd w:val="clear" w:color="auto" w:fill="FFFFFF"/>
            <w:vAlign w:val="center"/>
          </w:tcPr>
          <w:p w:rsidR="000309FC" w:rsidRPr="00DE6501" w:rsidRDefault="000309FC" w:rsidP="000309FC">
            <w:pPr>
              <w:widowControl/>
              <w:numPr>
                <w:ilvl w:val="0"/>
                <w:numId w:val="1"/>
              </w:numPr>
              <w:tabs>
                <w:tab w:val="clear" w:pos="480"/>
              </w:tabs>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商界人士認為政府應着力推動經濟發展，</w:t>
            </w:r>
            <w:r>
              <w:rPr>
                <w:rFonts w:ascii="細明體" w:eastAsia="細明體" w:hAnsi="細明體" w:cs="細明體" w:hint="eastAsia"/>
                <w:color w:val="000000"/>
                <w:kern w:val="0"/>
                <w:szCs w:val="24"/>
                <w:lang w:eastAsia="zh-HK"/>
              </w:rPr>
              <w:t>提高競爭力，</w:t>
            </w:r>
            <w:r w:rsidRPr="00DE6501">
              <w:rPr>
                <w:rFonts w:ascii="細明體" w:eastAsia="細明體" w:hAnsi="細明體" w:cs="細明體"/>
                <w:color w:val="000000"/>
                <w:kern w:val="0"/>
                <w:szCs w:val="24"/>
              </w:rPr>
              <w:t>例如改善營商環境，不應投放過多資源處理貧富差距、環境保育等問題。</w:t>
            </w:r>
          </w:p>
          <w:p w:rsidR="000309FC" w:rsidRPr="00135B30" w:rsidRDefault="000309FC" w:rsidP="000309FC">
            <w:pPr>
              <w:numPr>
                <w:ilvl w:val="0"/>
                <w:numId w:val="1"/>
              </w:numPr>
              <w:jc w:val="both"/>
            </w:pPr>
            <w:r w:rsidRPr="00DE6501">
              <w:rPr>
                <w:rFonts w:ascii="細明體" w:eastAsia="細明體" w:hAnsi="細明體" w:cs="細明體"/>
                <w:color w:val="000000"/>
                <w:kern w:val="0"/>
                <w:szCs w:val="24"/>
              </w:rPr>
              <w:t>基層市民認為政府應着力</w:t>
            </w:r>
            <w:r>
              <w:rPr>
                <w:rFonts w:ascii="細明體" w:eastAsia="細明體" w:hAnsi="細明體" w:cs="細明體" w:hint="eastAsia"/>
                <w:color w:val="000000"/>
                <w:kern w:val="0"/>
                <w:szCs w:val="24"/>
                <w:lang w:eastAsia="zh-HK"/>
              </w:rPr>
              <w:t>紓</w:t>
            </w:r>
            <w:r w:rsidRPr="00DE6501">
              <w:rPr>
                <w:rFonts w:ascii="細明體" w:eastAsia="細明體" w:hAnsi="細明體" w:cs="細明體"/>
                <w:color w:val="000000"/>
                <w:kern w:val="0"/>
                <w:szCs w:val="24"/>
              </w:rPr>
              <w:t>解民困，例如興建公屋、改善社會福利、推動就業等，認為政制發展或環境保育等問題相對上屬次要。</w:t>
            </w:r>
          </w:p>
          <w:p w:rsidR="000309FC" w:rsidRPr="002F06BB" w:rsidRDefault="000309FC" w:rsidP="000309FC">
            <w:pPr>
              <w:numPr>
                <w:ilvl w:val="0"/>
                <w:numId w:val="1"/>
              </w:numPr>
              <w:jc w:val="both"/>
            </w:pPr>
            <w:r w:rsidRPr="00DE6501">
              <w:rPr>
                <w:rFonts w:ascii="細明體" w:eastAsia="細明體" w:hAnsi="細明體" w:cs="細明體" w:hint="eastAsia"/>
                <w:color w:val="000000"/>
                <w:kern w:val="0"/>
                <w:szCs w:val="24"/>
                <w:lang w:eastAsia="zh-HK"/>
              </w:rPr>
              <w:t>部分人士認為政府應着力滿足市民的非物質層面需要（文化生活、心靈滿足），例如推出文化保育政</w:t>
            </w:r>
            <w:r w:rsidRPr="00DE6501">
              <w:rPr>
                <w:rFonts w:ascii="細明體" w:eastAsia="細明體" w:hAnsi="細明體" w:cs="細明體" w:hint="eastAsia"/>
                <w:color w:val="000000"/>
                <w:kern w:val="0"/>
                <w:szCs w:val="24"/>
              </w:rPr>
              <w:t>策</w:t>
            </w:r>
            <w:r w:rsidRPr="00DE6501">
              <w:rPr>
                <w:rFonts w:ascii="細明體" w:eastAsia="細明體" w:hAnsi="細明體" w:cs="細明體" w:hint="eastAsia"/>
                <w:color w:val="000000"/>
                <w:kern w:val="0"/>
                <w:szCs w:val="24"/>
                <w:lang w:eastAsia="zh-HK"/>
              </w:rPr>
              <w:t>、促進文化多元，</w:t>
            </w:r>
            <w:r>
              <w:rPr>
                <w:rFonts w:ascii="細明體" w:eastAsia="細明體" w:hAnsi="細明體" w:cs="細明體" w:hint="eastAsia"/>
                <w:color w:val="000000"/>
                <w:kern w:val="0"/>
                <w:szCs w:val="24"/>
                <w:lang w:eastAsia="zh-HK"/>
              </w:rPr>
              <w:t>認</w:t>
            </w:r>
            <w:r w:rsidRPr="00DE6501">
              <w:rPr>
                <w:rFonts w:ascii="細明體" w:eastAsia="細明體" w:hAnsi="細明體" w:cs="細明體"/>
                <w:color w:val="000000"/>
                <w:kern w:val="0"/>
                <w:szCs w:val="24"/>
              </w:rPr>
              <w:t>為</w:t>
            </w:r>
            <w:r w:rsidRPr="00DE6501">
              <w:rPr>
                <w:rFonts w:ascii="細明體" w:eastAsia="細明體" w:hAnsi="細明體" w:cs="細明體" w:hint="eastAsia"/>
                <w:color w:val="000000"/>
                <w:kern w:val="0"/>
                <w:szCs w:val="24"/>
                <w:lang w:eastAsia="zh-HK"/>
              </w:rPr>
              <w:t>經濟</w:t>
            </w:r>
            <w:r w:rsidRPr="00DE6501">
              <w:rPr>
                <w:rFonts w:ascii="細明體" w:eastAsia="細明體" w:hAnsi="細明體" w:cs="細明體"/>
                <w:color w:val="000000"/>
                <w:kern w:val="0"/>
                <w:szCs w:val="24"/>
              </w:rPr>
              <w:t>發展或</w:t>
            </w:r>
            <w:r w:rsidRPr="00DE6501">
              <w:rPr>
                <w:rFonts w:ascii="細明體" w:eastAsia="細明體" w:hAnsi="細明體" w:cs="細明體" w:hint="eastAsia"/>
                <w:color w:val="000000"/>
                <w:kern w:val="0"/>
                <w:szCs w:val="24"/>
                <w:lang w:eastAsia="zh-HK"/>
              </w:rPr>
              <w:t>貧富</w:t>
            </w:r>
            <w:r w:rsidRPr="00DE6501">
              <w:rPr>
                <w:rFonts w:ascii="細明體" w:eastAsia="細明體" w:hAnsi="細明體" w:cs="細明體"/>
                <w:color w:val="000000"/>
                <w:kern w:val="0"/>
                <w:szCs w:val="24"/>
              </w:rPr>
              <w:t>等問題</w:t>
            </w:r>
            <w:r w:rsidRPr="00DE6501">
              <w:rPr>
                <w:rFonts w:ascii="細明體" w:eastAsia="細明體" w:hAnsi="細明體" w:cs="細明體" w:hint="eastAsia"/>
                <w:color w:val="000000"/>
                <w:kern w:val="0"/>
                <w:szCs w:val="24"/>
                <w:lang w:eastAsia="zh-HK"/>
              </w:rPr>
              <w:t>較</w:t>
            </w:r>
            <w:r w:rsidRPr="00DE6501">
              <w:rPr>
                <w:rFonts w:ascii="細明體" w:eastAsia="細明體" w:hAnsi="細明體" w:cs="細明體"/>
                <w:color w:val="000000"/>
                <w:kern w:val="0"/>
                <w:szCs w:val="24"/>
              </w:rPr>
              <w:t>次要</w:t>
            </w:r>
            <w:r w:rsidRPr="00DE6501">
              <w:rPr>
                <w:rFonts w:ascii="細明體" w:eastAsia="細明體" w:hAnsi="細明體" w:cs="細明體" w:hint="eastAsia"/>
                <w:color w:val="000000"/>
                <w:kern w:val="0"/>
                <w:szCs w:val="24"/>
                <w:lang w:eastAsia="zh-HK"/>
              </w:rPr>
              <w:t>。</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b/>
                <w:color w:val="000000"/>
                <w:kern w:val="0"/>
                <w:szCs w:val="24"/>
              </w:rPr>
            </w:pPr>
            <w:r w:rsidRPr="008E4193">
              <w:rPr>
                <w:rFonts w:ascii="細明體" w:eastAsia="細明體" w:hAnsi="細明體" w:cs="細明體"/>
                <w:b/>
                <w:color w:val="000000"/>
                <w:kern w:val="0"/>
                <w:szCs w:val="24"/>
              </w:rPr>
              <w:t>重視生活素質</w:t>
            </w:r>
          </w:p>
        </w:tc>
        <w:tc>
          <w:tcPr>
            <w:tcW w:w="6945" w:type="dxa"/>
            <w:shd w:val="clear" w:color="auto" w:fill="FFFFFF"/>
            <w:vAlign w:val="center"/>
          </w:tcPr>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部分市民主張訂立標準工時，這有利於他們改善作息時間，並可以有更多時間照顧家庭或享受生活。</w:t>
            </w:r>
          </w:p>
          <w:p w:rsidR="000309FC" w:rsidRPr="00DE6501" w:rsidRDefault="000309FC" w:rsidP="000309FC">
            <w:pPr>
              <w:widowControl/>
              <w:numPr>
                <w:ilvl w:val="0"/>
                <w:numId w:val="1"/>
              </w:numPr>
              <w:jc w:val="both"/>
              <w:rPr>
                <w:rFonts w:ascii="細明體" w:eastAsia="細明體" w:hAnsi="細明體" w:cs="細明體"/>
                <w:color w:val="000000"/>
                <w:kern w:val="0"/>
                <w:szCs w:val="24"/>
              </w:rPr>
            </w:pPr>
            <w:proofErr w:type="gramStart"/>
            <w:r w:rsidRPr="00DE6501">
              <w:rPr>
                <w:rFonts w:ascii="細明體" w:eastAsia="細明體" w:hAnsi="細明體" w:cs="細明體"/>
                <w:color w:val="000000"/>
                <w:kern w:val="0"/>
                <w:szCs w:val="24"/>
              </w:rPr>
              <w:t>鄉郊居民</w:t>
            </w:r>
            <w:proofErr w:type="gramEnd"/>
            <w:r w:rsidRPr="00DE6501">
              <w:rPr>
                <w:rFonts w:ascii="細明體" w:eastAsia="細明體" w:hAnsi="細明體" w:cs="細明體"/>
                <w:color w:val="000000"/>
                <w:kern w:val="0"/>
                <w:szCs w:val="24"/>
              </w:rPr>
              <w:t>希望保留原有的生活方式，不想經濟發展影響他們的生活。</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b/>
                <w:color w:val="000000"/>
                <w:kern w:val="0"/>
                <w:szCs w:val="24"/>
              </w:rPr>
            </w:pPr>
            <w:r w:rsidRPr="008E4193">
              <w:rPr>
                <w:rFonts w:ascii="細明體" w:eastAsia="細明體" w:hAnsi="細明體" w:cs="細明體"/>
                <w:b/>
                <w:color w:val="000000"/>
                <w:kern w:val="0"/>
                <w:szCs w:val="24"/>
              </w:rPr>
              <w:t>重視法治</w:t>
            </w:r>
          </w:p>
        </w:tc>
        <w:tc>
          <w:tcPr>
            <w:tcW w:w="6945" w:type="dxa"/>
            <w:shd w:val="clear" w:color="auto" w:fill="FFFFFF"/>
            <w:vAlign w:val="center"/>
          </w:tcPr>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部分人士反對以違法手段抗爭</w:t>
            </w:r>
            <w:r>
              <w:rPr>
                <w:rFonts w:ascii="細明體" w:eastAsia="細明體" w:hAnsi="細明體" w:cs="細明體"/>
                <w:color w:val="000000"/>
                <w:kern w:val="0"/>
                <w:szCs w:val="24"/>
              </w:rPr>
              <w:t>，</w:t>
            </w:r>
            <w:r w:rsidRPr="00DE6501">
              <w:rPr>
                <w:rFonts w:ascii="細明體" w:eastAsia="細明體" w:hAnsi="細明體" w:cs="細明體"/>
                <w:color w:val="000000"/>
                <w:kern w:val="0"/>
                <w:szCs w:val="24"/>
              </w:rPr>
              <w:t>主張違法者應受到法律懲罰。</w:t>
            </w:r>
          </w:p>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部分人士強調法律至上和司法獨立，反對人大釋法等。</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b/>
                <w:color w:val="000000"/>
                <w:kern w:val="0"/>
                <w:szCs w:val="24"/>
              </w:rPr>
            </w:pPr>
            <w:r w:rsidRPr="008E4193">
              <w:rPr>
                <w:rFonts w:ascii="細明體" w:eastAsia="細明體" w:hAnsi="細明體" w:cs="細明體"/>
                <w:b/>
                <w:color w:val="000000"/>
                <w:kern w:val="0"/>
                <w:szCs w:val="24"/>
              </w:rPr>
              <w:t>重視平等</w:t>
            </w:r>
            <w:r w:rsidRPr="008E4193">
              <w:rPr>
                <w:rFonts w:ascii="細明體" w:eastAsia="細明體" w:hAnsi="細明體" w:cs="細明體" w:hint="eastAsia"/>
                <w:b/>
                <w:color w:val="000000"/>
                <w:kern w:val="0"/>
                <w:szCs w:val="24"/>
              </w:rPr>
              <w:t xml:space="preserve"> /</w:t>
            </w:r>
            <w:r w:rsidRPr="008E4193">
              <w:rPr>
                <w:rFonts w:ascii="細明體" w:eastAsia="細明體" w:hAnsi="細明體" w:cs="細明體"/>
                <w:b/>
                <w:color w:val="000000"/>
                <w:kern w:val="0"/>
                <w:szCs w:val="24"/>
              </w:rPr>
              <w:t xml:space="preserve"> 公義</w:t>
            </w:r>
          </w:p>
        </w:tc>
        <w:tc>
          <w:tcPr>
            <w:tcW w:w="6945" w:type="dxa"/>
            <w:shd w:val="clear" w:color="auto" w:fill="FFFFFF"/>
            <w:vAlign w:val="center"/>
          </w:tcPr>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主張推行「全民退休保障」，使所有</w:t>
            </w:r>
            <w:proofErr w:type="gramStart"/>
            <w:r w:rsidRPr="00DE6501">
              <w:rPr>
                <w:rFonts w:ascii="細明體" w:eastAsia="細明體" w:hAnsi="細明體" w:cs="細明體"/>
                <w:color w:val="000000"/>
                <w:kern w:val="0"/>
                <w:szCs w:val="24"/>
              </w:rPr>
              <w:t>市民均能享受</w:t>
            </w:r>
            <w:proofErr w:type="gramEnd"/>
            <w:r w:rsidRPr="00DE6501">
              <w:rPr>
                <w:rFonts w:ascii="細明體" w:eastAsia="細明體" w:hAnsi="細明體" w:cs="細明體"/>
                <w:color w:val="000000"/>
                <w:kern w:val="0"/>
                <w:szCs w:val="24"/>
              </w:rPr>
              <w:t>退休福利。</w:t>
            </w:r>
          </w:p>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關注發展中國家工人和農民的生活，推動公平貿易或要求跨國企業（或其代工工廠）改善勞工待遇。</w:t>
            </w:r>
          </w:p>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認為男性與女性應享受同等的事業發展機會</w:t>
            </w:r>
            <w:proofErr w:type="gramStart"/>
            <w:r w:rsidRPr="00DE6501">
              <w:rPr>
                <w:rFonts w:ascii="細明體" w:eastAsia="細明體" w:hAnsi="細明體" w:cs="細明體"/>
                <w:color w:val="000000"/>
                <w:kern w:val="0"/>
                <w:szCs w:val="24"/>
              </w:rPr>
              <w:t>（</w:t>
            </w:r>
            <w:proofErr w:type="gramEnd"/>
            <w:r w:rsidRPr="00DE6501">
              <w:rPr>
                <w:rFonts w:ascii="細明體" w:eastAsia="細明體" w:hAnsi="細明體" w:cs="細明體"/>
                <w:color w:val="000000"/>
                <w:kern w:val="0"/>
                <w:szCs w:val="24"/>
              </w:rPr>
              <w:t>反面價值觀：性別定型或性別歧視，例如「男主外</w:t>
            </w:r>
            <w:r>
              <w:rPr>
                <w:rFonts w:ascii="細明體" w:eastAsia="細明體" w:hAnsi="細明體" w:cs="細明體"/>
                <w:color w:val="000000"/>
                <w:kern w:val="0"/>
                <w:szCs w:val="24"/>
              </w:rPr>
              <w:t>，</w:t>
            </w:r>
            <w:r w:rsidRPr="00DE6501">
              <w:rPr>
                <w:rFonts w:ascii="細明體" w:eastAsia="細明體" w:hAnsi="細明體" w:cs="細明體"/>
                <w:color w:val="000000"/>
                <w:kern w:val="0"/>
                <w:szCs w:val="24"/>
              </w:rPr>
              <w:t>女主內」</w:t>
            </w:r>
            <w:proofErr w:type="gramStart"/>
            <w:r w:rsidRPr="00DE6501">
              <w:rPr>
                <w:rFonts w:ascii="細明體" w:eastAsia="細明體" w:hAnsi="細明體" w:cs="細明體"/>
                <w:color w:val="000000"/>
                <w:kern w:val="0"/>
                <w:szCs w:val="24"/>
              </w:rPr>
              <w:t>）</w:t>
            </w:r>
            <w:proofErr w:type="gramEnd"/>
            <w:r w:rsidRPr="00DE6501">
              <w:rPr>
                <w:rFonts w:ascii="細明體" w:eastAsia="細明體" w:hAnsi="細明體" w:cs="細明體"/>
                <w:color w:val="000000"/>
                <w:kern w:val="0"/>
                <w:szCs w:val="24"/>
              </w:rPr>
              <w:t>。</w:t>
            </w:r>
          </w:p>
        </w:tc>
      </w:tr>
      <w:tr w:rsidR="000309FC" w:rsidRPr="00DE6501" w:rsidTr="00E61C5E">
        <w:tc>
          <w:tcPr>
            <w:tcW w:w="2694" w:type="dxa"/>
            <w:shd w:val="clear" w:color="auto" w:fill="D9D9D9"/>
            <w:vAlign w:val="center"/>
          </w:tcPr>
          <w:p w:rsidR="000309FC" w:rsidRPr="008E4193" w:rsidRDefault="000309FC" w:rsidP="00E61C5E">
            <w:pPr>
              <w:widowControl/>
              <w:spacing w:line="75" w:lineRule="atLeast"/>
              <w:jc w:val="center"/>
              <w:rPr>
                <w:rFonts w:ascii="細明體" w:eastAsia="細明體" w:hAnsi="細明體" w:cs="細明體"/>
                <w:b/>
                <w:color w:val="000000"/>
                <w:kern w:val="0"/>
                <w:szCs w:val="24"/>
              </w:rPr>
            </w:pPr>
            <w:r w:rsidRPr="008E4193">
              <w:rPr>
                <w:rFonts w:ascii="細明體" w:eastAsia="細明體" w:hAnsi="細明體" w:cs="細明體"/>
                <w:b/>
                <w:color w:val="000000"/>
                <w:kern w:val="0"/>
                <w:szCs w:val="24"/>
              </w:rPr>
              <w:t>重視自由</w:t>
            </w:r>
          </w:p>
        </w:tc>
        <w:tc>
          <w:tcPr>
            <w:tcW w:w="6945" w:type="dxa"/>
            <w:shd w:val="clear" w:color="auto" w:fill="FFFFFF"/>
            <w:vAlign w:val="center"/>
          </w:tcPr>
          <w:p w:rsidR="000309FC" w:rsidRPr="00DE6501" w:rsidRDefault="000309FC" w:rsidP="000309FC">
            <w:pPr>
              <w:widowControl/>
              <w:numPr>
                <w:ilvl w:val="0"/>
                <w:numId w:val="1"/>
              </w:numPr>
              <w:jc w:val="both"/>
              <w:rPr>
                <w:rFonts w:ascii="細明體" w:eastAsia="細明體" w:hAnsi="細明體" w:cs="細明體"/>
                <w:color w:val="000000"/>
                <w:kern w:val="0"/>
                <w:szCs w:val="24"/>
              </w:rPr>
            </w:pPr>
            <w:r w:rsidRPr="00DE6501">
              <w:rPr>
                <w:rFonts w:ascii="細明體" w:eastAsia="細明體" w:hAnsi="細明體" w:cs="細明體"/>
                <w:color w:val="000000"/>
                <w:kern w:val="0"/>
                <w:szCs w:val="24"/>
              </w:rPr>
              <w:t>反對修訂《版權條例》，認為會影響市民在網上的言論和創作自由。</w:t>
            </w:r>
          </w:p>
        </w:tc>
      </w:tr>
    </w:tbl>
    <w:p w:rsidR="006D055E" w:rsidRDefault="006D055E" w:rsidP="000309FC"/>
    <w:p w:rsidR="00A929D5" w:rsidRDefault="00A929D5" w:rsidP="000309FC"/>
    <w:p w:rsidR="00A929D5" w:rsidRDefault="00A929D5" w:rsidP="000309FC"/>
    <w:p w:rsidR="00A929D5" w:rsidRPr="00B876C8" w:rsidRDefault="00A929D5" w:rsidP="00A929D5">
      <w:pPr>
        <w:pStyle w:val="1"/>
        <w:snapToGrid w:val="0"/>
        <w:spacing w:beforeLines="50" w:before="180"/>
        <w:ind w:left="709" w:hangingChars="295" w:hanging="709"/>
        <w:jc w:val="both"/>
        <w:rPr>
          <w:rFonts w:ascii="新細明體" w:hAnsi="新細明體"/>
        </w:rPr>
      </w:pPr>
      <w:r w:rsidRPr="0040558F">
        <w:rPr>
          <w:b/>
        </w:rPr>
        <w:lastRenderedPageBreak/>
        <w:t>香港的生態旅遊發展涉及不同</w:t>
      </w:r>
      <w:proofErr w:type="gramStart"/>
      <w:r w:rsidRPr="0040558F">
        <w:rPr>
          <w:b/>
        </w:rPr>
        <w:t>持份者</w:t>
      </w:r>
      <w:proofErr w:type="gramEnd"/>
      <w:r w:rsidRPr="0040558F">
        <w:rPr>
          <w:b/>
        </w:rPr>
        <w:t>，這些</w:t>
      </w:r>
      <w:proofErr w:type="gramStart"/>
      <w:r w:rsidRPr="0040558F">
        <w:rPr>
          <w:b/>
        </w:rPr>
        <w:t>持份者之間</w:t>
      </w:r>
      <w:proofErr w:type="gramEnd"/>
      <w:r w:rsidRPr="0040558F">
        <w:rPr>
          <w:b/>
        </w:rPr>
        <w:t>會有甚麼價值衝突？解釋你的答案。</w:t>
      </w:r>
    </w:p>
    <w:p w:rsidR="00A929D5" w:rsidRPr="001C7407" w:rsidRDefault="00A929D5" w:rsidP="00A929D5">
      <w:pPr>
        <w:pStyle w:val="1"/>
        <w:jc w:val="both"/>
        <w:rPr>
          <w:rFonts w:hint="eastAsia"/>
        </w:rPr>
      </w:pPr>
    </w:p>
    <w:p w:rsidR="00A929D5" w:rsidRPr="005424C6" w:rsidRDefault="00A929D5" w:rsidP="00A929D5">
      <w:pPr>
        <w:pStyle w:val="1"/>
        <w:jc w:val="both"/>
        <w:rPr>
          <w:rFonts w:ascii="Times New Roman" w:hAnsi="Times New Roman" w:cs="Times New Roman"/>
          <w:b/>
          <w:lang w:eastAsia="zh-HK"/>
        </w:rPr>
      </w:pPr>
      <w:r w:rsidRPr="005424C6">
        <w:rPr>
          <w:rFonts w:ascii="Times New Roman" w:hAnsi="Times New Roman" w:cs="Times New Roman"/>
          <w:b/>
          <w:lang w:eastAsia="zh-HK"/>
        </w:rPr>
        <w:t>資料</w:t>
      </w:r>
      <w:r w:rsidRPr="005424C6">
        <w:rPr>
          <w:rFonts w:ascii="Times New Roman" w:hAnsi="Times New Roman" w:cs="Times New Roman"/>
          <w:b/>
          <w:lang w:eastAsia="zh-HK"/>
        </w:rPr>
        <w:t>A</w:t>
      </w:r>
      <w:r w:rsidRPr="005424C6">
        <w:rPr>
          <w:rFonts w:ascii="Times New Roman" w:hAnsi="Times New Roman" w:cs="Times New Roman"/>
          <w:b/>
          <w:lang w:eastAsia="zh-HK"/>
        </w:rPr>
        <w:t>：</w:t>
      </w:r>
      <w:r w:rsidRPr="005424C6">
        <w:rPr>
          <w:rFonts w:ascii="Times New Roman" w:eastAsia="細明體" w:hAnsi="Times New Roman" w:cs="Times New Roman"/>
        </w:rPr>
        <w:t>取材自</w:t>
      </w:r>
      <w:r w:rsidRPr="005424C6">
        <w:rPr>
          <w:rFonts w:ascii="Times New Roman" w:eastAsia="細明體" w:hAnsi="Times New Roman" w:cs="Times New Roman"/>
        </w:rPr>
        <w:t>2019</w:t>
      </w:r>
      <w:r w:rsidRPr="005424C6">
        <w:rPr>
          <w:rFonts w:ascii="Times New Roman" w:eastAsia="細明體" w:hAnsi="Times New Roman" w:cs="Times New Roman"/>
          <w:lang w:eastAsia="zh-HK"/>
        </w:rPr>
        <w:t>年</w:t>
      </w:r>
      <w:r w:rsidRPr="005424C6">
        <w:rPr>
          <w:rFonts w:ascii="Times New Roman" w:eastAsia="細明體" w:hAnsi="Times New Roman" w:cs="Times New Roman"/>
          <w:lang w:eastAsia="zh-HK"/>
        </w:rPr>
        <w:t>2</w:t>
      </w:r>
      <w:r w:rsidRPr="005424C6">
        <w:rPr>
          <w:rFonts w:ascii="Times New Roman" w:eastAsia="細明體" w:hAnsi="Times New Roman" w:cs="Times New Roman"/>
          <w:lang w:eastAsia="zh-HK"/>
        </w:rPr>
        <w:t>月</w:t>
      </w:r>
      <w:r w:rsidRPr="005424C6">
        <w:rPr>
          <w:rFonts w:ascii="Times New Roman" w:eastAsia="細明體" w:hAnsi="Times New Roman" w:cs="Times New Roman"/>
          <w:lang w:eastAsia="zh-HK"/>
        </w:rPr>
        <w:t>18</w:t>
      </w:r>
      <w:r w:rsidRPr="005424C6">
        <w:rPr>
          <w:rFonts w:ascii="Times New Roman" w:eastAsia="細明體" w:hAnsi="Times New Roman" w:cs="Times New Roman"/>
          <w:lang w:eastAsia="zh-HK"/>
        </w:rPr>
        <w:t>日的報章新聞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929D5" w:rsidTr="00E61C5E">
        <w:tc>
          <w:tcPr>
            <w:tcW w:w="9639" w:type="dxa"/>
            <w:shd w:val="clear" w:color="auto" w:fill="auto"/>
          </w:tcPr>
          <w:p w:rsidR="00A929D5" w:rsidRPr="0040558F" w:rsidRDefault="00A929D5" w:rsidP="00E61C5E">
            <w:pPr>
              <w:spacing w:beforeLines="50" w:before="180" w:afterLines="30" w:after="108"/>
              <w:jc w:val="both"/>
            </w:pPr>
            <w:r>
              <w:rPr>
                <w:rFonts w:hint="eastAsia"/>
              </w:rPr>
              <w:t xml:space="preserve">　　</w:t>
            </w:r>
            <w:r w:rsidRPr="0040558F">
              <w:rPr>
                <w:rFonts w:hint="eastAsia"/>
              </w:rPr>
              <w:t>「生態旅遊」是增長最快的旅遊項目之一，每年為全球帶來逾七百億美元的收益。香港保留了大面積的郊野公園、海岸公園等，加上地理位置和氣候關係，生態資源相當豐富，有條件發展生態旅遊。生態旅遊不只是到大自然觀光，而是一種教育過程，可提升遊客對保育的使命感</w:t>
            </w:r>
            <w:r w:rsidRPr="0040558F">
              <w:t>。</w:t>
            </w:r>
          </w:p>
          <w:p w:rsidR="00A929D5" w:rsidRPr="00B876C8" w:rsidRDefault="00A929D5" w:rsidP="00E61C5E">
            <w:pPr>
              <w:spacing w:afterLines="50" w:after="180"/>
              <w:jc w:val="both"/>
              <w:rPr>
                <w:rFonts w:ascii="Arial" w:hAnsi="Arial" w:cs="Arial" w:hint="eastAsia"/>
                <w:color w:val="000000"/>
                <w:kern w:val="0"/>
              </w:rPr>
            </w:pPr>
            <w:r>
              <w:rPr>
                <w:rFonts w:hint="eastAsia"/>
              </w:rPr>
              <w:t xml:space="preserve">　　</w:t>
            </w:r>
            <w:r w:rsidRPr="0040558F">
              <w:rPr>
                <w:rFonts w:hint="eastAsia"/>
              </w:rPr>
              <w:t>政府為提升郊野公園及特別地區</w:t>
            </w:r>
            <w:proofErr w:type="gramStart"/>
            <w:r w:rsidRPr="0040558F">
              <w:rPr>
                <w:rFonts w:hint="eastAsia"/>
                <w:vertAlign w:val="superscript"/>
              </w:rPr>
              <w:t>＊</w:t>
            </w:r>
            <w:proofErr w:type="gramEnd"/>
            <w:r w:rsidRPr="0040558F">
              <w:rPr>
                <w:rFonts w:hint="eastAsia"/>
              </w:rPr>
              <w:t>的康樂及教育潛力，提出四項建議方案，包括改善現有設施、設立可供觀賞遺跡的開放式博物館、推出樹</w:t>
            </w:r>
            <w:proofErr w:type="gramStart"/>
            <w:r w:rsidRPr="0040558F">
              <w:rPr>
                <w:rFonts w:hint="eastAsia"/>
              </w:rPr>
              <w:t>頂歷奇</w:t>
            </w:r>
            <w:proofErr w:type="gramEnd"/>
            <w:r w:rsidRPr="0040558F">
              <w:rPr>
                <w:rFonts w:hint="eastAsia"/>
              </w:rPr>
              <w:t>活動和增設升級露營地點及生態小屋，並展開公眾諮詢，以收集公眾意見</w:t>
            </w:r>
            <w:r w:rsidRPr="0040558F">
              <w:t>。</w:t>
            </w:r>
          </w:p>
        </w:tc>
      </w:tr>
    </w:tbl>
    <w:p w:rsidR="00A929D5" w:rsidRPr="0040558F" w:rsidRDefault="00A929D5" w:rsidP="00A929D5">
      <w:pPr>
        <w:ind w:left="283" w:hangingChars="118" w:hanging="283"/>
        <w:jc w:val="both"/>
        <w:rPr>
          <w:rFonts w:ascii="Times New Roman" w:hAnsi="Times New Roman"/>
          <w:sz w:val="20"/>
          <w:szCs w:val="20"/>
        </w:rPr>
      </w:pPr>
      <w:proofErr w:type="gramStart"/>
      <w:r w:rsidRPr="0040558F">
        <w:rPr>
          <w:rFonts w:hint="eastAsia"/>
          <w:vertAlign w:val="superscript"/>
        </w:rPr>
        <w:t>＊</w:t>
      </w:r>
      <w:proofErr w:type="gramEnd"/>
      <w:r w:rsidRPr="0040558F">
        <w:rPr>
          <w:rFonts w:ascii="Times New Roman" w:hAnsi="Times New Roman"/>
          <w:sz w:val="20"/>
          <w:szCs w:val="20"/>
        </w:rPr>
        <w:tab/>
      </w:r>
      <w:r w:rsidRPr="0040558F">
        <w:rPr>
          <w:rFonts w:ascii="Times New Roman" w:hAnsi="Times New Roman"/>
          <w:sz w:val="20"/>
          <w:szCs w:val="20"/>
        </w:rPr>
        <w:t>根據《郊野公園條例》（第</w:t>
      </w:r>
      <w:r w:rsidRPr="0040558F">
        <w:rPr>
          <w:rFonts w:ascii="Times New Roman" w:hAnsi="Times New Roman"/>
          <w:sz w:val="20"/>
          <w:szCs w:val="20"/>
        </w:rPr>
        <w:t>208</w:t>
      </w:r>
      <w:r w:rsidRPr="0040558F">
        <w:rPr>
          <w:rFonts w:ascii="Times New Roman" w:hAnsi="Times New Roman"/>
          <w:sz w:val="20"/>
          <w:szCs w:val="20"/>
        </w:rPr>
        <w:t>章），政府會將在動植物、地質、文化或考古特色方面具有特殊和重要價值的政府土地指定為特別地區，以作保育。</w:t>
      </w:r>
    </w:p>
    <w:p w:rsidR="008B29A0" w:rsidRDefault="008B29A0" w:rsidP="00A929D5"/>
    <w:p w:rsidR="008B29A0" w:rsidRDefault="008B29A0" w:rsidP="00A929D5"/>
    <w:p w:rsidR="008B29A0" w:rsidRDefault="008B29A0" w:rsidP="00A929D5"/>
    <w:p w:rsidR="008B29A0" w:rsidRDefault="008B29A0"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 w:rsidR="007304AF" w:rsidRDefault="007304AF" w:rsidP="00A929D5">
      <w:pPr>
        <w:rPr>
          <w:rFonts w:hint="eastAsia"/>
        </w:rPr>
      </w:pPr>
      <w:bookmarkStart w:id="0" w:name="_GoBack"/>
      <w:bookmarkEnd w:id="0"/>
    </w:p>
    <w:p w:rsidR="00A929D5" w:rsidRDefault="008B29A0" w:rsidP="00A929D5">
      <w:r>
        <w:rPr>
          <w:rFonts w:hint="eastAsia"/>
        </w:rPr>
        <w:lastRenderedPageBreak/>
        <w:t>2</w:t>
      </w:r>
      <w:r>
        <w:t xml:space="preserve">018 </w:t>
      </w:r>
      <w:r>
        <w:rPr>
          <w:rFonts w:hint="eastAsia"/>
        </w:rPr>
        <w:t>p</w:t>
      </w:r>
      <w:r>
        <w:t>ast paper</w:t>
      </w:r>
    </w:p>
    <w:p w:rsidR="008B29A0" w:rsidRPr="00A36B06" w:rsidRDefault="008B29A0" w:rsidP="00A929D5">
      <w:pPr>
        <w:rPr>
          <w:rFonts w:hint="eastAsia"/>
        </w:rPr>
      </w:pPr>
      <w:r>
        <w:t xml:space="preserve">3. </w:t>
      </w:r>
      <w:r>
        <w:rPr>
          <w:rFonts w:hint="eastAsia"/>
        </w:rPr>
        <w:t>細閱以下資料</w:t>
      </w:r>
    </w:p>
    <w:p w:rsidR="00A929D5" w:rsidRDefault="008B29A0" w:rsidP="000309FC">
      <w:pPr>
        <w:rPr>
          <w:b/>
        </w:rPr>
      </w:pPr>
      <w:r w:rsidRPr="008B29A0">
        <w:rPr>
          <w:rFonts w:hint="eastAsia"/>
          <w:b/>
          <w:noProof/>
        </w:rPr>
        <w:drawing>
          <wp:inline distT="0" distB="0" distL="0" distR="0">
            <wp:extent cx="6120130" cy="415329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153291"/>
                    </a:xfrm>
                    <a:prstGeom prst="rect">
                      <a:avLst/>
                    </a:prstGeom>
                    <a:noFill/>
                    <a:ln>
                      <a:noFill/>
                    </a:ln>
                  </pic:spPr>
                </pic:pic>
              </a:graphicData>
            </a:graphic>
          </wp:inline>
        </w:drawing>
      </w:r>
    </w:p>
    <w:p w:rsidR="008B29A0" w:rsidRPr="008B29A0" w:rsidRDefault="008B29A0" w:rsidP="000309FC">
      <w:pPr>
        <w:rPr>
          <w:rFonts w:hint="eastAsia"/>
          <w:b/>
        </w:rPr>
      </w:pPr>
      <w:r>
        <w:rPr>
          <w:noProof/>
        </w:rPr>
        <w:lastRenderedPageBreak/>
        <w:drawing>
          <wp:inline distT="0" distB="0" distL="0" distR="0" wp14:anchorId="33BE6F66" wp14:editId="5A0EEC51">
            <wp:extent cx="6293880" cy="67151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836" t="21261" r="34634" b="881"/>
                    <a:stretch/>
                  </pic:blipFill>
                  <pic:spPr bwMode="auto">
                    <a:xfrm>
                      <a:off x="0" y="0"/>
                      <a:ext cx="6305728" cy="6727766"/>
                    </a:xfrm>
                    <a:prstGeom prst="rect">
                      <a:avLst/>
                    </a:prstGeom>
                    <a:ln>
                      <a:noFill/>
                    </a:ln>
                    <a:extLst>
                      <a:ext uri="{53640926-AAD7-44D8-BBD7-CCE9431645EC}">
                        <a14:shadowObscured xmlns:a14="http://schemas.microsoft.com/office/drawing/2010/main"/>
                      </a:ext>
                    </a:extLst>
                  </pic:spPr>
                </pic:pic>
              </a:graphicData>
            </a:graphic>
          </wp:inline>
        </w:drawing>
      </w:r>
    </w:p>
    <w:sectPr w:rsidR="008B29A0" w:rsidRPr="008B29A0" w:rsidSect="000309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C62D1"/>
    <w:multiLevelType w:val="hybridMultilevel"/>
    <w:tmpl w:val="5478D7BC"/>
    <w:lvl w:ilvl="0" w:tplc="7F88FD0C">
      <w:start w:val="1"/>
      <w:numFmt w:val="bullet"/>
      <w:lvlText w:val=""/>
      <w:lvlJc w:val="left"/>
      <w:pPr>
        <w:tabs>
          <w:tab w:val="num" w:pos="480"/>
        </w:tabs>
        <w:ind w:left="480" w:hanging="480"/>
      </w:pPr>
      <w:rPr>
        <w:rFonts w:ascii="Wingdings" w:hAnsi="Wingdings" w:hint="default"/>
        <w:sz w:val="24"/>
        <w:szCs w:val="24"/>
      </w:rPr>
    </w:lvl>
    <w:lvl w:ilvl="1" w:tplc="0409000F">
      <w:start w:val="1"/>
      <w:numFmt w:val="decimal"/>
      <w:lvlText w:val="%2."/>
      <w:lvlJc w:val="left"/>
      <w:pPr>
        <w:tabs>
          <w:tab w:val="num" w:pos="480"/>
        </w:tabs>
        <w:ind w:left="480" w:hanging="480"/>
      </w:pPr>
      <w:rPr>
        <w:rFonts w:hint="default"/>
        <w:sz w:val="24"/>
        <w:szCs w:val="24"/>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FC"/>
    <w:rsid w:val="000309FC"/>
    <w:rsid w:val="006D055E"/>
    <w:rsid w:val="007304AF"/>
    <w:rsid w:val="008B29A0"/>
    <w:rsid w:val="00A929D5"/>
    <w:rsid w:val="00AE5BDA"/>
    <w:rsid w:val="00B27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B278"/>
  <w15:chartTrackingRefBased/>
  <w15:docId w15:val="{E4C601D9-7F57-4B6A-95EA-5A5F6CE1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override-1">
    <w:name w:val="char-style-override-1"/>
    <w:rsid w:val="000309FC"/>
    <w:rPr>
      <w:b/>
      <w:bCs/>
      <w:i w:val="0"/>
      <w:iCs w:val="0"/>
      <w:color w:val="FF4D00"/>
      <w:sz w:val="26"/>
      <w:szCs w:val="26"/>
    </w:rPr>
  </w:style>
  <w:style w:type="paragraph" w:customStyle="1" w:styleId="1">
    <w:name w:val="內文1"/>
    <w:rsid w:val="00A929D5"/>
    <w:pPr>
      <w:widowControl w:val="0"/>
    </w:pPr>
    <w:rPr>
      <w:rFonts w:ascii="Calibri" w:eastAsia="新細明體"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4</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WongChuenFung</dc:creator>
  <cp:keywords/>
  <dc:description/>
  <cp:lastModifiedBy>WongChuenFung</cp:lastModifiedBy>
  <cp:revision>8</cp:revision>
  <dcterms:created xsi:type="dcterms:W3CDTF">2022-11-23T07:21:00Z</dcterms:created>
  <dcterms:modified xsi:type="dcterms:W3CDTF">2022-11-24T03:49:00Z</dcterms:modified>
</cp:coreProperties>
</file>