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C6" w:rsidRPr="00AE2F5D" w:rsidRDefault="0065738E" w:rsidP="00793EC6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proofErr w:type="gramStart"/>
      <w:r w:rsidR="00555CA9">
        <w:rPr>
          <w:rFonts w:hint="eastAsia"/>
          <w:sz w:val="28"/>
          <w:szCs w:val="28"/>
          <w:lang w:eastAsia="zh-HK"/>
        </w:rPr>
        <w:t>萬鈞</w:t>
      </w:r>
      <w:r w:rsidR="00793EC6" w:rsidRPr="00AE2F5D">
        <w:rPr>
          <w:rFonts w:hint="eastAsia"/>
          <w:sz w:val="28"/>
          <w:szCs w:val="28"/>
        </w:rPr>
        <w:t>伯裘書院</w:t>
      </w:r>
      <w:proofErr w:type="gramEnd"/>
    </w:p>
    <w:p w:rsidR="00793EC6" w:rsidRDefault="00793EC6" w:rsidP="00793EC6">
      <w:pPr>
        <w:spacing w:line="0" w:lineRule="atLeast"/>
        <w:jc w:val="center"/>
        <w:rPr>
          <w:sz w:val="28"/>
          <w:szCs w:val="28"/>
        </w:rPr>
      </w:pPr>
      <w:r w:rsidRPr="00AE2F5D">
        <w:rPr>
          <w:rFonts w:hint="eastAsia"/>
          <w:sz w:val="28"/>
          <w:szCs w:val="28"/>
        </w:rPr>
        <w:t>二零</w:t>
      </w:r>
      <w:r w:rsidR="008D174E">
        <w:rPr>
          <w:rFonts w:hint="eastAsia"/>
          <w:sz w:val="28"/>
          <w:szCs w:val="28"/>
          <w:lang w:eastAsia="zh-HK"/>
        </w:rPr>
        <w:t>二</w:t>
      </w:r>
      <w:r w:rsidR="002903A7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至二零</w:t>
      </w:r>
      <w:r w:rsidR="008D174E">
        <w:rPr>
          <w:rFonts w:hint="eastAsia"/>
          <w:sz w:val="28"/>
          <w:szCs w:val="28"/>
          <w:lang w:eastAsia="zh-HK"/>
        </w:rPr>
        <w:t>二</w:t>
      </w:r>
      <w:r w:rsidR="002903A7">
        <w:rPr>
          <w:rFonts w:hint="eastAsia"/>
          <w:sz w:val="28"/>
          <w:szCs w:val="28"/>
        </w:rPr>
        <w:t>三</w:t>
      </w:r>
      <w:r w:rsidRPr="00AE2F5D">
        <w:rPr>
          <w:rFonts w:hint="eastAsia"/>
          <w:sz w:val="28"/>
          <w:szCs w:val="28"/>
        </w:rPr>
        <w:t>年度</w:t>
      </w:r>
    </w:p>
    <w:p w:rsidR="00793EC6" w:rsidRDefault="00793EC6" w:rsidP="00793EC6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eastAsia="zh-HK"/>
        </w:rPr>
        <w:t>一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  <w:lang w:eastAsia="zh-HK"/>
        </w:rPr>
        <w:t>統測</w:t>
      </w:r>
    </w:p>
    <w:p w:rsidR="000F52B0" w:rsidRDefault="00793EC6" w:rsidP="007B1A92">
      <w:pPr>
        <w:adjustRightInd w:val="0"/>
        <w:spacing w:afterLines="50" w:after="120" w:line="0" w:lineRule="atLeast"/>
        <w:contextualSpacing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HK"/>
        </w:rPr>
        <w:t>六</w:t>
      </w:r>
      <w:r w:rsidRPr="00065376">
        <w:rPr>
          <w:rFonts w:hint="eastAsia"/>
          <w:sz w:val="28"/>
          <w:szCs w:val="28"/>
        </w:rPr>
        <w:t>級</w:t>
      </w:r>
      <w:r w:rsidRPr="00065376">
        <w:rPr>
          <w:sz w:val="28"/>
          <w:szCs w:val="28"/>
        </w:rPr>
        <w:t xml:space="preserve">  </w:t>
      </w:r>
      <w:r w:rsidRPr="00065376">
        <w:rPr>
          <w:sz w:val="28"/>
          <w:szCs w:val="28"/>
        </w:rPr>
        <w:tab/>
      </w:r>
      <w:r w:rsidRPr="00065376"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06537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0653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65376">
        <w:rPr>
          <w:rFonts w:hint="eastAsia"/>
          <w:sz w:val="28"/>
          <w:szCs w:val="28"/>
        </w:rPr>
        <w:t>通識科</w:t>
      </w:r>
      <w:r w:rsidRPr="00065376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65376">
        <w:rPr>
          <w:rFonts w:hint="eastAsia"/>
          <w:sz w:val="28"/>
          <w:szCs w:val="28"/>
        </w:rPr>
        <w:t xml:space="preserve">  </w:t>
      </w:r>
      <w:r w:rsidRPr="000653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時間：</w:t>
      </w:r>
      <w:r>
        <w:rPr>
          <w:rFonts w:hint="eastAsia"/>
          <w:sz w:val="28"/>
          <w:szCs w:val="28"/>
          <w:lang w:eastAsia="zh-HK"/>
        </w:rPr>
        <w:t>一</w:t>
      </w:r>
      <w:r w:rsidRPr="00065376">
        <w:rPr>
          <w:rFonts w:hint="eastAsia"/>
          <w:sz w:val="28"/>
          <w:szCs w:val="28"/>
        </w:rPr>
        <w:t>小時</w:t>
      </w:r>
      <w:r>
        <w:rPr>
          <w:sz w:val="28"/>
          <w:szCs w:val="28"/>
        </w:rPr>
        <w:br/>
        <w:t>(</w:t>
      </w:r>
      <w:r>
        <w:rPr>
          <w:rFonts w:hint="eastAsia"/>
          <w:sz w:val="28"/>
          <w:szCs w:val="28"/>
        </w:rPr>
        <w:t>建議答案</w:t>
      </w:r>
      <w:r>
        <w:rPr>
          <w:sz w:val="28"/>
          <w:szCs w:val="28"/>
        </w:rPr>
        <w:t>)</w:t>
      </w:r>
    </w:p>
    <w:p w:rsidR="002903A7" w:rsidRDefault="002903A7" w:rsidP="002903A7">
      <w:pPr>
        <w:rPr>
          <w:rFonts w:ascii="新細明體" w:eastAsiaTheme="minorEastAsia" w:hAnsi="新細明體" w:cs="新細明體"/>
        </w:rPr>
      </w:pPr>
      <w:r>
        <w:rPr>
          <w:rFonts w:ascii="New MingLiu" w:hAnsi="New MingLiu"/>
          <w:kern w:val="0"/>
        </w:rPr>
        <w:t xml:space="preserve">1a. </w:t>
      </w:r>
      <w:r w:rsidRPr="006F4E0B">
        <w:rPr>
          <w:rFonts w:asciiTheme="minorHAnsi" w:eastAsiaTheme="minorEastAsia" w:hAnsiTheme="minorHAnsi" w:cstheme="minorBidi" w:hint="eastAsia"/>
        </w:rPr>
        <w:t>描述資料</w:t>
      </w:r>
      <w:r w:rsidRPr="006F4E0B">
        <w:rPr>
          <w:rFonts w:asciiTheme="minorHAnsi" w:eastAsiaTheme="minorEastAsia" w:hAnsiTheme="minorHAnsi" w:cstheme="minorBidi" w:hint="eastAsia"/>
        </w:rPr>
        <w:t>A</w:t>
      </w:r>
      <w:r w:rsidRPr="006F4E0B">
        <w:rPr>
          <w:rFonts w:asciiTheme="minorHAnsi" w:eastAsiaTheme="minorEastAsia" w:hAnsiTheme="minorHAnsi" w:cstheme="minorBidi" w:hint="eastAsia"/>
        </w:rPr>
        <w:t>顯示，全球網上購物的趨勢，並提出這些趨勢會帶來的一個潛在好處。解釋你的答案。</w:t>
      </w:r>
      <w:r w:rsidRPr="006F4E0B">
        <w:rPr>
          <w:rFonts w:asciiTheme="minorHAnsi" w:eastAsiaTheme="minorEastAsia" w:hAnsiTheme="minorHAnsi" w:cstheme="minorBidi" w:hint="eastAsia"/>
        </w:rPr>
        <w:t xml:space="preserve">                                                        </w:t>
      </w:r>
      <w:r>
        <w:rPr>
          <w:rFonts w:asciiTheme="minorHAnsi" w:eastAsiaTheme="minorEastAsia" w:hAnsiTheme="minorHAnsi" w:cstheme="minorBidi"/>
        </w:rPr>
        <w:t xml:space="preserve">         </w:t>
      </w:r>
      <w:r>
        <w:rPr>
          <w:rFonts w:ascii="新細明體" w:eastAsiaTheme="minorEastAsia" w:hAnsi="新細明體" w:cs="新細明體" w:hint="eastAsia"/>
        </w:rPr>
        <w:t>(</w:t>
      </w:r>
      <w:r w:rsidRPr="006F4E0B">
        <w:rPr>
          <w:rFonts w:ascii="新細明體" w:eastAsiaTheme="minorEastAsia" w:hAnsi="新細明體" w:cs="新細明體" w:hint="eastAsia"/>
        </w:rPr>
        <w:t>4</w:t>
      </w:r>
      <w:r>
        <w:rPr>
          <w:rFonts w:ascii="新細明體" w:eastAsiaTheme="minorEastAsia" w:hAnsi="新細明體" w:cs="新細明體" w:hint="eastAsia"/>
        </w:rPr>
        <w:t>分)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4"/>
        <w:gridCol w:w="1039"/>
      </w:tblGrid>
      <w:tr w:rsidR="002903A7" w:rsidRPr="006F4E0B" w:rsidTr="0064623F">
        <w:trPr>
          <w:trHeight w:val="345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F4E0B">
              <w:rPr>
                <w:rFonts w:hint="eastAsia"/>
                <w:b/>
              </w:rPr>
              <w:t>建議評改準則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4E0B">
              <w:rPr>
                <w:rFonts w:hint="eastAsia"/>
                <w:b/>
              </w:rPr>
              <w:t>分數</w:t>
            </w:r>
          </w:p>
        </w:tc>
      </w:tr>
      <w:tr w:rsidR="002903A7" w:rsidRPr="006F4E0B" w:rsidTr="0064623F">
        <w:trPr>
          <w:trHeight w:val="345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rPr>
                <w:b/>
              </w:rPr>
            </w:pPr>
            <w:r w:rsidRPr="006F4E0B">
              <w:rPr>
                <w:rFonts w:hint="eastAsia"/>
                <w:b/>
              </w:rPr>
              <w:t>考生</w:t>
            </w:r>
            <w:r w:rsidRPr="006F4E0B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03A7" w:rsidRPr="006F4E0B" w:rsidTr="0064623F">
        <w:trPr>
          <w:trHeight w:val="1153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Default="002903A7" w:rsidP="0064623F">
            <w:pPr>
              <w:autoSpaceDE w:val="0"/>
              <w:autoSpaceDN w:val="0"/>
              <w:adjustRightInd w:val="0"/>
              <w:ind w:left="240" w:rightChars="63" w:right="151" w:hangingChars="100" w:hanging="240"/>
              <w:rPr>
                <w:rFonts w:ascii="New MingLiu" w:hAnsi="New MingLiu"/>
              </w:rPr>
            </w:pPr>
            <w:proofErr w:type="gramStart"/>
            <w:r w:rsidRPr="006F4E0B">
              <w:rPr>
                <w:rFonts w:ascii="新細明體" w:hAnsi="新細明體" w:hint="eastAsia"/>
              </w:rPr>
              <w:t>˙</w:t>
            </w:r>
            <w:proofErr w:type="gramEnd"/>
            <w:r w:rsidRPr="006F4E0B">
              <w:rPr>
                <w:rFonts w:ascii="New MingLiu" w:hAnsi="New MingLiu" w:hint="eastAsia"/>
              </w:rPr>
              <w:t>指出及清楚地描述資料</w:t>
            </w:r>
            <w:r w:rsidRPr="006F4E0B">
              <w:rPr>
                <w:rFonts w:ascii="New MingLiu" w:hAnsi="New MingLiu"/>
              </w:rPr>
              <w:t xml:space="preserve">A </w:t>
            </w:r>
            <w:r w:rsidRPr="006F4E0B">
              <w:rPr>
                <w:rFonts w:ascii="New MingLiu" w:hAnsi="New MingLiu" w:hint="eastAsia"/>
              </w:rPr>
              <w:t>所反映的</w:t>
            </w:r>
            <w:r w:rsidRPr="006F4E0B">
              <w:rPr>
                <w:rFonts w:asciiTheme="minorHAnsi" w:eastAsiaTheme="minorEastAsia" w:hAnsiTheme="minorHAnsi" w:cstheme="minorBidi" w:hint="eastAsia"/>
              </w:rPr>
              <w:t>全球網上購物的趨勢</w:t>
            </w:r>
            <w:r w:rsidRPr="006F4E0B">
              <w:rPr>
                <w:rFonts w:ascii="New MingLiu" w:hAnsi="New MingLiu" w:hint="eastAsia"/>
              </w:rPr>
              <w:t>，例如：持續擴展的國際貿易；</w:t>
            </w:r>
            <w:r w:rsidRPr="00C861DC">
              <w:rPr>
                <w:b/>
              </w:rPr>
              <w:t>全球網上購物人數</w:t>
            </w:r>
            <w:r w:rsidRPr="006F4E0B">
              <w:rPr>
                <w:rFonts w:ascii="New MingLiu" w:hAnsi="New MingLiu" w:hint="eastAsia"/>
              </w:rPr>
              <w:t>在</w:t>
            </w:r>
            <w:r>
              <w:rPr>
                <w:rFonts w:ascii="New MingLiu" w:hAnsi="New MingLiu"/>
              </w:rPr>
              <w:t>2013</w:t>
            </w:r>
            <w:r w:rsidRPr="006F4E0B">
              <w:rPr>
                <w:rFonts w:ascii="New MingLiu" w:hAnsi="New MingLiu"/>
              </w:rPr>
              <w:t xml:space="preserve"> </w:t>
            </w:r>
            <w:r w:rsidRPr="006F4E0B">
              <w:rPr>
                <w:rFonts w:ascii="New MingLiu" w:hAnsi="New MingLiu" w:hint="eastAsia"/>
              </w:rPr>
              <w:t>年至</w:t>
            </w:r>
            <w:r>
              <w:rPr>
                <w:rFonts w:ascii="New MingLiu" w:hAnsi="New MingLiu"/>
              </w:rPr>
              <w:t xml:space="preserve">  2018</w:t>
            </w:r>
            <w:r w:rsidRPr="006F4E0B">
              <w:rPr>
                <w:rFonts w:ascii="New MingLiu" w:hAnsi="New MingLiu" w:hint="eastAsia"/>
              </w:rPr>
              <w:t>年期間持續上升；</w:t>
            </w:r>
          </w:p>
          <w:p w:rsidR="002903A7" w:rsidRPr="006F4E0B" w:rsidRDefault="002903A7" w:rsidP="0064623F">
            <w:pPr>
              <w:autoSpaceDE w:val="0"/>
              <w:autoSpaceDN w:val="0"/>
              <w:adjustRightInd w:val="0"/>
              <w:ind w:left="240" w:rightChars="63" w:right="151" w:hangingChars="100" w:hanging="240"/>
              <w:rPr>
                <w:rFonts w:ascii="新細明體" w:hAnsi="新細明體"/>
              </w:rPr>
            </w:pPr>
            <w:proofErr w:type="gramStart"/>
            <w:r w:rsidRPr="006F4E0B">
              <w:rPr>
                <w:rFonts w:ascii="新細明體" w:hAnsi="新細明體" w:hint="eastAsia"/>
              </w:rPr>
              <w:t>˙</w:t>
            </w:r>
            <w:proofErr w:type="gramEnd"/>
            <w:r w:rsidRPr="006F4E0B">
              <w:rPr>
                <w:rFonts w:ascii="New MingLiu" w:hAnsi="New MingLiu" w:hint="eastAsia"/>
              </w:rPr>
              <w:t>清楚有理及合乎邏輯地解釋由資料</w:t>
            </w:r>
            <w:r w:rsidRPr="006F4E0B">
              <w:rPr>
                <w:rFonts w:ascii="New MingLiu" w:hAnsi="New MingLiu"/>
              </w:rPr>
              <w:t xml:space="preserve">A </w:t>
            </w:r>
            <w:r w:rsidRPr="006F4E0B">
              <w:rPr>
                <w:rFonts w:ascii="New MingLiu" w:hAnsi="New MingLiu" w:hint="eastAsia"/>
              </w:rPr>
              <w:t>推論出的潛在好處，例如在經濟方面創造新職位、擴建市場</w:t>
            </w:r>
            <w:proofErr w:type="gramStart"/>
            <w:r w:rsidRPr="006F4E0B">
              <w:rPr>
                <w:rFonts w:ascii="New MingLiu" w:hAnsi="New MingLiu" w:hint="eastAsia"/>
              </w:rPr>
              <w:t>（</w:t>
            </w:r>
            <w:proofErr w:type="gramEnd"/>
            <w:r w:rsidRPr="006F4E0B">
              <w:rPr>
                <w:rFonts w:ascii="New MingLiu" w:hAnsi="New MingLiu" w:hint="eastAsia"/>
              </w:rPr>
              <w:t>例如：物流業、銷售率</w:t>
            </w:r>
            <w:proofErr w:type="gramStart"/>
            <w:r w:rsidRPr="006F4E0B">
              <w:rPr>
                <w:rFonts w:ascii="New MingLiu" w:hAnsi="New MingLiu" w:hint="eastAsia"/>
              </w:rPr>
              <w:t>）</w:t>
            </w:r>
            <w:proofErr w:type="gramEnd"/>
            <w:r w:rsidRPr="006F4E0B">
              <w:rPr>
                <w:rFonts w:ascii="New MingLiu" w:hAnsi="New MingLiu" w:hint="eastAsia"/>
              </w:rPr>
              <w:t>、企業收入增加及更多基建發展</w:t>
            </w:r>
            <w:proofErr w:type="gramStart"/>
            <w:r w:rsidRPr="006F4E0B">
              <w:rPr>
                <w:rFonts w:ascii="New MingLiu" w:hAnsi="New MingLiu" w:hint="eastAsia"/>
              </w:rPr>
              <w:t>（</w:t>
            </w:r>
            <w:proofErr w:type="gramEnd"/>
            <w:r w:rsidRPr="006F4E0B">
              <w:rPr>
                <w:rFonts w:ascii="New MingLiu" w:hAnsi="New MingLiu" w:hint="eastAsia"/>
              </w:rPr>
              <w:t>例如：機場設施</w:t>
            </w:r>
            <w:proofErr w:type="gramStart"/>
            <w:r w:rsidRPr="006F4E0B">
              <w:rPr>
                <w:rFonts w:ascii="New MingLiu" w:hAnsi="New MingLiu" w:hint="eastAsia"/>
              </w:rPr>
              <w:t>）</w:t>
            </w:r>
            <w:proofErr w:type="gramEnd"/>
            <w:r w:rsidRPr="006F4E0B">
              <w:rPr>
                <w:rFonts w:ascii="New MingLiu" w:hAnsi="New MingLiu" w:hint="eastAsia"/>
              </w:rPr>
              <w:t>等</w:t>
            </w:r>
          </w:p>
          <w:p w:rsidR="002903A7" w:rsidRPr="006F4E0B" w:rsidRDefault="002903A7" w:rsidP="0064623F">
            <w:pPr>
              <w:autoSpaceDE w:val="0"/>
              <w:autoSpaceDN w:val="0"/>
              <w:adjustRightInd w:val="0"/>
              <w:ind w:rightChars="63" w:right="151"/>
              <w:rPr>
                <w:rFonts w:ascii="New MingLiu" w:hAnsi="New MingLiu"/>
              </w:rPr>
            </w:pPr>
            <w:proofErr w:type="gramStart"/>
            <w:r w:rsidRPr="006F4E0B">
              <w:rPr>
                <w:rFonts w:ascii="新細明體" w:hAnsi="新細明體" w:hint="eastAsia"/>
              </w:rPr>
              <w:t>˙</w:t>
            </w:r>
            <w:proofErr w:type="gramEnd"/>
            <w:r w:rsidRPr="006F4E0B">
              <w:rPr>
                <w:rFonts w:ascii="New MingLiu" w:hAnsi="New MingLiu" w:hint="eastAsia"/>
              </w:rPr>
              <w:t>答案結構嚴謹，表達清楚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</w:pPr>
            <w:r w:rsidRPr="006F4E0B">
              <w:t>4</w:t>
            </w:r>
          </w:p>
        </w:tc>
      </w:tr>
      <w:tr w:rsidR="002903A7" w:rsidRPr="006F4E0B" w:rsidTr="0064623F">
        <w:trPr>
          <w:trHeight w:val="548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ind w:left="240" w:rightChars="63" w:right="151" w:hangingChars="100" w:hanging="240"/>
              <w:rPr>
                <w:rFonts w:ascii="New MingLiu" w:hAnsi="New MingLiu"/>
                <w:kern w:val="0"/>
              </w:rPr>
            </w:pPr>
            <w:proofErr w:type="gramStart"/>
            <w:r w:rsidRPr="006F4E0B">
              <w:rPr>
                <w:rFonts w:ascii="新細明體" w:hAnsi="新細明體" w:hint="eastAsia"/>
              </w:rPr>
              <w:t>˙</w:t>
            </w:r>
            <w:proofErr w:type="gramEnd"/>
            <w:r w:rsidRPr="006F4E0B">
              <w:rPr>
                <w:rFonts w:ascii="New MingLiu" w:hAnsi="New MingLiu" w:hint="eastAsia"/>
              </w:rPr>
              <w:t>指出趨勢，但只簡單運用資料描述</w:t>
            </w:r>
          </w:p>
          <w:p w:rsidR="002903A7" w:rsidRPr="006F4E0B" w:rsidRDefault="002903A7" w:rsidP="0064623F">
            <w:pPr>
              <w:autoSpaceDE w:val="0"/>
              <w:autoSpaceDN w:val="0"/>
              <w:adjustRightInd w:val="0"/>
              <w:ind w:rightChars="63" w:right="151"/>
            </w:pPr>
            <w:proofErr w:type="gramStart"/>
            <w:r w:rsidRPr="006F4E0B">
              <w:rPr>
                <w:rFonts w:ascii="新細明體" w:hAnsi="新細明體" w:hint="eastAsia"/>
              </w:rPr>
              <w:t>˙</w:t>
            </w:r>
            <w:proofErr w:type="gramEnd"/>
            <w:r w:rsidRPr="006F4E0B">
              <w:rPr>
                <w:rFonts w:ascii="New MingLiu" w:hAnsi="New MingLiu" w:hint="eastAsia"/>
              </w:rPr>
              <w:t>就資料</w:t>
            </w:r>
            <w:r w:rsidRPr="006F4E0B">
              <w:rPr>
                <w:rFonts w:ascii="New MingLiu" w:hAnsi="New MingLiu"/>
              </w:rPr>
              <w:t>A</w:t>
            </w:r>
            <w:r w:rsidRPr="006F4E0B">
              <w:rPr>
                <w:rFonts w:ascii="New MingLiu" w:hAnsi="New MingLiu" w:hint="eastAsia"/>
              </w:rPr>
              <w:t>，指出一個潛在好處，但解釋不</w:t>
            </w:r>
            <w:proofErr w:type="gramStart"/>
            <w:r w:rsidRPr="006F4E0B">
              <w:rPr>
                <w:rFonts w:ascii="New MingLiu" w:hAnsi="New MingLiu" w:hint="eastAsia"/>
              </w:rPr>
              <w:t>充分或欠清晰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</w:pPr>
            <w:r w:rsidRPr="006F4E0B">
              <w:t>2-3</w:t>
            </w:r>
          </w:p>
        </w:tc>
      </w:tr>
      <w:tr w:rsidR="002903A7" w:rsidRPr="006F4E0B" w:rsidTr="0064623F">
        <w:trPr>
          <w:trHeight w:val="548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ind w:left="240" w:hangingChars="100" w:hanging="240"/>
              <w:rPr>
                <w:kern w:val="0"/>
              </w:rPr>
            </w:pPr>
            <w:proofErr w:type="gramStart"/>
            <w:r w:rsidRPr="006F4E0B">
              <w:rPr>
                <w:rFonts w:ascii="新細明體" w:hAnsi="新細明體" w:hint="eastAsia"/>
              </w:rPr>
              <w:t>˙</w:t>
            </w:r>
            <w:proofErr w:type="gramEnd"/>
            <w:r w:rsidRPr="006F4E0B">
              <w:rPr>
                <w:rFonts w:ascii="New MingLiu" w:hAnsi="New MingLiu" w:hint="eastAsia"/>
              </w:rPr>
              <w:t>簡單描述其中一些數字，但有些描述不甚正確</w:t>
            </w:r>
          </w:p>
          <w:p w:rsidR="002903A7" w:rsidRPr="006F4E0B" w:rsidRDefault="002903A7" w:rsidP="0064623F">
            <w:pPr>
              <w:rPr>
                <w:rFonts w:ascii="新細明體" w:hAnsi="新細明體"/>
              </w:rPr>
            </w:pPr>
            <w:proofErr w:type="gramStart"/>
            <w:r w:rsidRPr="006F4E0B">
              <w:rPr>
                <w:rFonts w:ascii="新細明體" w:hAnsi="新細明體" w:hint="eastAsia"/>
              </w:rPr>
              <w:t>˙</w:t>
            </w:r>
            <w:proofErr w:type="gramEnd"/>
            <w:r w:rsidRPr="006F4E0B">
              <w:rPr>
                <w:rFonts w:ascii="New MingLiu" w:hAnsi="New MingLiu" w:hint="eastAsia"/>
              </w:rPr>
              <w:t>指出一項或並未有指出潛在好處，解釋流於片面，或未能帶出與資料的關係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</w:pPr>
            <w:r w:rsidRPr="006F4E0B">
              <w:t>1</w:t>
            </w:r>
          </w:p>
        </w:tc>
      </w:tr>
      <w:tr w:rsidR="002903A7" w:rsidRPr="006F4E0B" w:rsidTr="0064623F">
        <w:trPr>
          <w:trHeight w:val="894"/>
        </w:trPr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ind w:rightChars="63" w:right="151"/>
              <w:rPr>
                <w:rFonts w:ascii="新細明體" w:hAnsi="新細明體"/>
              </w:rPr>
            </w:pPr>
            <w:proofErr w:type="gramStart"/>
            <w:r w:rsidRPr="006F4E0B">
              <w:rPr>
                <w:rFonts w:ascii="新細明體" w:hAnsi="新細明體" w:hint="eastAsia"/>
              </w:rPr>
              <w:t>˙</w:t>
            </w:r>
            <w:proofErr w:type="gramEnd"/>
            <w:r w:rsidRPr="006F4E0B">
              <w:rPr>
                <w:rFonts w:ascii="New MingLiu" w:hAnsi="New MingLiu" w:hint="eastAsia"/>
                <w:kern w:val="0"/>
              </w:rPr>
              <w:t>沒有嘗試作答</w:t>
            </w:r>
          </w:p>
          <w:p w:rsidR="002903A7" w:rsidRPr="006F4E0B" w:rsidRDefault="002903A7" w:rsidP="0064623F">
            <w:pPr>
              <w:autoSpaceDE w:val="0"/>
              <w:autoSpaceDN w:val="0"/>
              <w:adjustRightInd w:val="0"/>
            </w:pPr>
            <w:proofErr w:type="gramStart"/>
            <w:r w:rsidRPr="006F4E0B">
              <w:rPr>
                <w:rFonts w:ascii="新細明體" w:hAnsi="新細明體" w:hint="eastAsia"/>
              </w:rPr>
              <w:t>˙</w:t>
            </w:r>
            <w:proofErr w:type="gramEnd"/>
            <w:r w:rsidRPr="006F4E0B">
              <w:rPr>
                <w:rFonts w:hint="eastAsia"/>
              </w:rPr>
              <w:t>所答與題目</w:t>
            </w:r>
            <w:r w:rsidRPr="006F4E0B">
              <w:rPr>
                <w:rFonts w:ascii="新細明體" w:hAnsi="新細明體" w:cs="新細明體" w:hint="eastAsia"/>
              </w:rPr>
              <w:t>毫不相干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</w:pPr>
          </w:p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</w:pPr>
            <w:r w:rsidRPr="006F4E0B">
              <w:t>0</w:t>
            </w:r>
          </w:p>
        </w:tc>
      </w:tr>
    </w:tbl>
    <w:p w:rsidR="002903A7" w:rsidRDefault="002903A7" w:rsidP="002903A7">
      <w:pPr>
        <w:adjustRightInd w:val="0"/>
        <w:spacing w:afterLines="50" w:after="120" w:line="0" w:lineRule="atLeast"/>
        <w:contextualSpacing/>
        <w:rPr>
          <w:rFonts w:ascii="新細明體" w:eastAsiaTheme="minorEastAsia" w:hAnsi="新細明體" w:cs="新細明體"/>
        </w:rPr>
      </w:pPr>
    </w:p>
    <w:p w:rsidR="002903A7" w:rsidRPr="00D60EDD" w:rsidRDefault="002903A7" w:rsidP="002903A7">
      <w:pPr>
        <w:rPr>
          <w:rFonts w:asciiTheme="minorHAnsi" w:eastAsiaTheme="minorEastAsia" w:hAnsiTheme="minorHAnsi" w:cstheme="minorBidi"/>
        </w:rPr>
      </w:pPr>
      <w:r>
        <w:t xml:space="preserve">2b. </w:t>
      </w:r>
      <w:r w:rsidRPr="00D60EDD">
        <w:rPr>
          <w:rFonts w:asciiTheme="minorHAnsi" w:eastAsiaTheme="minorEastAsia" w:hAnsiTheme="minorHAnsi" w:cstheme="minorBidi" w:hint="eastAsia"/>
        </w:rPr>
        <w:t>參考所提供資料及你對全球化的理解，</w:t>
      </w:r>
      <w:proofErr w:type="gramStart"/>
      <w:r w:rsidRPr="00D60EDD">
        <w:rPr>
          <w:rFonts w:asciiTheme="minorHAnsi" w:eastAsiaTheme="minorEastAsia" w:hAnsiTheme="minorHAnsi" w:cstheme="minorBidi" w:hint="eastAsia"/>
        </w:rPr>
        <w:t>就你在</w:t>
      </w:r>
      <w:r w:rsidRPr="00D60EDD">
        <w:rPr>
          <w:rFonts w:asciiTheme="minorHAnsi" w:eastAsiaTheme="minorEastAsia" w:hAnsiTheme="minorHAnsi" w:cstheme="minorBidi" w:hint="eastAsia"/>
        </w:rPr>
        <w:t>(</w:t>
      </w:r>
      <w:proofErr w:type="gramEnd"/>
      <w:r w:rsidRPr="00D60EDD">
        <w:rPr>
          <w:rFonts w:asciiTheme="minorHAnsi" w:eastAsiaTheme="minorEastAsia" w:hAnsiTheme="minorHAnsi" w:cstheme="minorBidi" w:hint="eastAsia"/>
        </w:rPr>
        <w:t xml:space="preserve">a) </w:t>
      </w:r>
      <w:r w:rsidRPr="00D60EDD">
        <w:rPr>
          <w:rFonts w:asciiTheme="minorHAnsi" w:eastAsiaTheme="minorEastAsia" w:hAnsiTheme="minorHAnsi" w:cstheme="minorBidi" w:hint="eastAsia"/>
        </w:rPr>
        <w:t>題描述的全球網上購物的趨勢，指出及解釋由這些趨勢引起的</w:t>
      </w:r>
      <w:r w:rsidRPr="00D60EDD">
        <w:rPr>
          <w:rFonts w:asciiTheme="minorHAnsi" w:eastAsiaTheme="minorEastAsia" w:hAnsiTheme="minorHAnsi" w:cstheme="minorBidi" w:hint="eastAsia"/>
          <w:b/>
          <w:bCs/>
          <w:i/>
          <w:iCs/>
        </w:rPr>
        <w:t>兩個</w:t>
      </w:r>
      <w:r w:rsidRPr="00D60EDD">
        <w:rPr>
          <w:rFonts w:asciiTheme="minorHAnsi" w:eastAsiaTheme="minorEastAsia" w:hAnsiTheme="minorHAnsi" w:cstheme="minorBidi" w:hint="eastAsia"/>
        </w:rPr>
        <w:t>全球關注點。</w:t>
      </w:r>
      <w:r w:rsidRPr="00D60EDD">
        <w:rPr>
          <w:rFonts w:asciiTheme="minorHAnsi" w:eastAsiaTheme="minorEastAsia" w:hAnsiTheme="minorHAnsi" w:cstheme="minorBidi" w:hint="eastAsia"/>
        </w:rPr>
        <w:t xml:space="preserve">  </w:t>
      </w:r>
      <w:r w:rsidRPr="00D60EDD">
        <w:rPr>
          <w:rFonts w:asciiTheme="minorHAnsi" w:eastAsiaTheme="minorEastAsia" w:hAnsiTheme="minorHAnsi" w:cstheme="minorBidi"/>
        </w:rPr>
        <w:t xml:space="preserve">                              </w:t>
      </w:r>
      <w:r>
        <w:rPr>
          <w:rFonts w:asciiTheme="minorHAnsi" w:eastAsiaTheme="minorEastAsia" w:hAnsiTheme="minorHAnsi" w:cstheme="minorBidi"/>
        </w:rPr>
        <w:t xml:space="preserve">    </w:t>
      </w:r>
      <w:r w:rsidRPr="00D60EDD">
        <w:rPr>
          <w:rFonts w:asciiTheme="minorHAnsi" w:eastAsiaTheme="minorEastAsia" w:hAnsiTheme="minorHAnsi" w:cstheme="minorBidi"/>
        </w:rPr>
        <w:t xml:space="preserve"> </w:t>
      </w:r>
      <w:r>
        <w:rPr>
          <w:rFonts w:ascii="新細明體" w:eastAsiaTheme="minorEastAsia" w:hAnsi="新細明體" w:cs="新細明體" w:hint="eastAsia"/>
        </w:rPr>
        <w:t>(</w:t>
      </w:r>
      <w:r w:rsidRPr="00D60EDD">
        <w:rPr>
          <w:rFonts w:ascii="新細明體" w:eastAsiaTheme="minorEastAsia" w:hAnsi="新細明體" w:cs="新細明體" w:hint="eastAsia"/>
        </w:rPr>
        <w:t>8</w:t>
      </w:r>
      <w:r>
        <w:rPr>
          <w:rFonts w:ascii="新細明體" w:eastAsiaTheme="minorEastAsia" w:hAnsi="新細明體" w:cs="新細明體" w:hint="eastAsia"/>
        </w:rPr>
        <w:t>分)</w:t>
      </w:r>
    </w:p>
    <w:p w:rsidR="002903A7" w:rsidRPr="00D60EDD" w:rsidRDefault="002903A7" w:rsidP="002903A7">
      <w:pPr>
        <w:widowControl/>
        <w:rPr>
          <w:kern w:val="0"/>
        </w:rPr>
      </w:pPr>
    </w:p>
    <w:tbl>
      <w:tblPr>
        <w:tblW w:w="95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77"/>
        <w:gridCol w:w="1183"/>
      </w:tblGrid>
      <w:tr w:rsidR="002903A7" w:rsidRPr="006F4E0B" w:rsidTr="002903A7">
        <w:trPr>
          <w:trHeight w:val="373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F4E0B">
              <w:rPr>
                <w:rFonts w:hint="eastAsia"/>
                <w:b/>
              </w:rPr>
              <w:t>建議評改準則</w:t>
            </w:r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4E0B">
              <w:rPr>
                <w:rFonts w:hint="eastAsia"/>
                <w:b/>
              </w:rPr>
              <w:t>分數</w:t>
            </w:r>
          </w:p>
        </w:tc>
      </w:tr>
      <w:tr w:rsidR="002903A7" w:rsidRPr="006F4E0B" w:rsidTr="002903A7">
        <w:trPr>
          <w:trHeight w:val="373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rPr>
                <w:b/>
              </w:rPr>
            </w:pPr>
            <w:r w:rsidRPr="006F4E0B">
              <w:rPr>
                <w:rFonts w:hint="eastAsia"/>
                <w:b/>
              </w:rPr>
              <w:t>考生</w:t>
            </w:r>
            <w:r w:rsidRPr="006F4E0B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903A7" w:rsidRPr="006F4E0B" w:rsidTr="002903A7">
        <w:trPr>
          <w:trHeight w:val="1503"/>
        </w:trPr>
        <w:tc>
          <w:tcPr>
            <w:tcW w:w="8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ind w:left="240" w:rightChars="63" w:right="151" w:hangingChars="100" w:hanging="240"/>
              <w:rPr>
                <w:rFonts w:ascii="New MingLiu" w:hAnsi="New MingLiu"/>
                <w:kern w:val="0"/>
              </w:rPr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ascii="New MingLiu" w:hAnsi="New MingLiu" w:hint="eastAsia"/>
              </w:rPr>
              <w:t>就資料，指出及清楚詳盡解釋由</w:t>
            </w:r>
            <w:r w:rsidRPr="00D60EDD">
              <w:rPr>
                <w:rFonts w:asciiTheme="minorHAnsi" w:eastAsiaTheme="minorEastAsia" w:hAnsiTheme="minorHAnsi" w:cstheme="minorBidi" w:hint="eastAsia"/>
              </w:rPr>
              <w:t>全球網上購物</w:t>
            </w:r>
            <w:r w:rsidRPr="006F4E0B">
              <w:rPr>
                <w:rFonts w:ascii="New MingLiu" w:hAnsi="New MingLiu" w:hint="eastAsia"/>
              </w:rPr>
              <w:t>趨勢引起的兩個全球關注點；能充分理解及恰當地運用有關知識及概念（例如食品安全、經濟全球化、</w:t>
            </w:r>
            <w:r w:rsidRPr="00D60EDD">
              <w:rPr>
                <w:rFonts w:ascii="New MingLiu" w:hAnsi="New MingLiu" w:hint="eastAsia"/>
              </w:rPr>
              <w:t>固體廢物、消費主義</w:t>
            </w:r>
            <w:r w:rsidRPr="006F4E0B">
              <w:rPr>
                <w:rFonts w:ascii="New MingLiu" w:hAnsi="New MingLiu" w:hint="eastAsia"/>
              </w:rPr>
              <w:t>）；可採用部分下列或其他恰當的要點。例如：</w:t>
            </w:r>
          </w:p>
          <w:p w:rsidR="002903A7" w:rsidRPr="006F4E0B" w:rsidRDefault="002903A7" w:rsidP="0064623F">
            <w:pPr>
              <w:autoSpaceDE w:val="0"/>
              <w:autoSpaceDN w:val="0"/>
              <w:adjustRightInd w:val="0"/>
              <w:ind w:rightChars="63" w:right="151"/>
              <w:rPr>
                <w:rFonts w:ascii="New MingLiu" w:hAnsi="New MingLiu"/>
                <w:kern w:val="0"/>
              </w:rPr>
            </w:pPr>
          </w:p>
          <w:p w:rsidR="002903A7" w:rsidRPr="00D60EDD" w:rsidRDefault="002903A7" w:rsidP="002903A7">
            <w:pPr>
              <w:numPr>
                <w:ilvl w:val="0"/>
                <w:numId w:val="27"/>
              </w:numPr>
              <w:rPr>
                <w:rFonts w:ascii="New MingLiu" w:hAnsi="New MingLiu"/>
                <w:kern w:val="0"/>
              </w:rPr>
            </w:pPr>
            <w:r w:rsidRPr="00D60EDD">
              <w:rPr>
                <w:rFonts w:hint="eastAsia"/>
              </w:rPr>
              <w:t>引致固體廢物問題</w:t>
            </w:r>
            <w:r w:rsidRPr="006F4E0B">
              <w:rPr>
                <w:rFonts w:hint="eastAsia"/>
              </w:rPr>
              <w:t>：</w:t>
            </w:r>
            <w:r w:rsidRPr="00D60EDD">
              <w:rPr>
                <w:rFonts w:hint="eastAsia"/>
              </w:rPr>
              <w:t>由於網購便利，消費者不自覺地購買大量不必要的商品林</w:t>
            </w:r>
            <w:proofErr w:type="gramStart"/>
            <w:r w:rsidRPr="00D60EDD">
              <w:rPr>
                <w:rFonts w:hint="eastAsia"/>
              </w:rPr>
              <w:t>加上速遞公司</w:t>
            </w:r>
            <w:proofErr w:type="gramEnd"/>
            <w:r w:rsidRPr="00D60EDD">
              <w:rPr>
                <w:rFonts w:hint="eastAsia"/>
              </w:rPr>
              <w:t>往往以多重紙盒、膠袋包裝商品，結果固體廢物量增加，造成大量不必要的資源浪費及損害環境。</w:t>
            </w:r>
          </w:p>
          <w:p w:rsidR="002903A7" w:rsidRPr="006F4E0B" w:rsidRDefault="002903A7" w:rsidP="002903A7">
            <w:pPr>
              <w:numPr>
                <w:ilvl w:val="0"/>
                <w:numId w:val="27"/>
              </w:numPr>
              <w:rPr>
                <w:rFonts w:ascii="New MingLiu" w:hAnsi="New MingLiu"/>
                <w:kern w:val="0"/>
              </w:rPr>
            </w:pPr>
            <w:r w:rsidRPr="00D60EDD">
              <w:rPr>
                <w:rFonts w:hint="eastAsia"/>
              </w:rPr>
              <w:t>宣揚消費主義</w:t>
            </w:r>
            <w:r w:rsidRPr="006F4E0B">
              <w:rPr>
                <w:rFonts w:ascii="New MingLiu" w:hAnsi="New MingLiu" w:hint="eastAsia"/>
              </w:rPr>
              <w:t>：在經濟全球化下，</w:t>
            </w:r>
            <w:r w:rsidRPr="00D60EDD">
              <w:rPr>
                <w:rFonts w:ascii="New MingLiu" w:hAnsi="New MingLiu" w:hint="eastAsia"/>
              </w:rPr>
              <w:t>把商品包裝成必須品，加上網購公司的以各種宣傳及銷售策略，刺激人們消費。</w:t>
            </w:r>
            <w:r w:rsidRPr="006F4E0B">
              <w:rPr>
                <w:rFonts w:ascii="New MingLiu" w:hAnsi="New MingLiu" w:hint="eastAsia"/>
              </w:rPr>
              <w:t xml:space="preserve"> </w:t>
            </w:r>
          </w:p>
          <w:p w:rsidR="002903A7" w:rsidRPr="006F4E0B" w:rsidRDefault="002903A7" w:rsidP="0064623F">
            <w:pPr>
              <w:rPr>
                <w:rFonts w:ascii="New MingLiu" w:hAnsi="New MingLiu"/>
                <w:kern w:val="0"/>
              </w:rPr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ascii="New MingLiu" w:hAnsi="New MingLiu" w:hint="eastAsia"/>
              </w:rPr>
              <w:t>能適當地運用資料清楚解釋趨勢與全球關注點的關係</w:t>
            </w:r>
          </w:p>
          <w:p w:rsidR="002903A7" w:rsidRPr="006F4E0B" w:rsidRDefault="002903A7" w:rsidP="0064623F">
            <w:pPr>
              <w:autoSpaceDE w:val="0"/>
              <w:autoSpaceDN w:val="0"/>
              <w:adjustRightInd w:val="0"/>
              <w:rPr>
                <w:rFonts w:ascii="New MingLiu" w:hAnsi="New MingLiu"/>
              </w:rPr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ascii="New MingLiu" w:hAnsi="New MingLiu" w:hint="eastAsia"/>
              </w:rPr>
              <w:t>答案結構嚴謹，表達清楚且深入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6F4E0B" w:rsidRDefault="002903A7" w:rsidP="0064623F">
            <w:pPr>
              <w:widowControl/>
              <w:jc w:val="center"/>
            </w:pPr>
            <w:r w:rsidRPr="006F4E0B">
              <w:t>6-8</w:t>
            </w:r>
          </w:p>
          <w:p w:rsidR="002903A7" w:rsidRPr="006F4E0B" w:rsidRDefault="002903A7" w:rsidP="0064623F">
            <w:pPr>
              <w:widowControl/>
              <w:jc w:val="center"/>
            </w:pPr>
          </w:p>
          <w:p w:rsidR="002903A7" w:rsidRPr="006F4E0B" w:rsidRDefault="002903A7" w:rsidP="0064623F">
            <w:pPr>
              <w:widowControl/>
              <w:jc w:val="center"/>
            </w:pPr>
          </w:p>
          <w:p w:rsidR="002903A7" w:rsidRPr="006F4E0B" w:rsidRDefault="002903A7" w:rsidP="0064623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903A7" w:rsidRDefault="002903A7" w:rsidP="002903A7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2903A7" w:rsidRDefault="002903A7" w:rsidP="002903A7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2903A7" w:rsidRDefault="002903A7" w:rsidP="002903A7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2903A7" w:rsidRDefault="002903A7" w:rsidP="002903A7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E55F74" w:rsidRPr="00E55F74" w:rsidRDefault="00E55F74" w:rsidP="00E55F74">
      <w:pPr>
        <w:tabs>
          <w:tab w:val="left" w:pos="340"/>
        </w:tabs>
        <w:spacing w:line="400" w:lineRule="exact"/>
        <w:jc w:val="center"/>
        <w:rPr>
          <w:rFonts w:asciiTheme="majorEastAsia" w:eastAsiaTheme="majorEastAsia" w:hAnsiTheme="majorEastAsia"/>
          <w:lang w:eastAsia="zh-HK"/>
        </w:rPr>
      </w:pPr>
      <w:r w:rsidRPr="0006704E">
        <w:rPr>
          <w:rFonts w:asciiTheme="majorEastAsia" w:eastAsiaTheme="majorEastAsia" w:hAnsiTheme="majorEastAsia" w:hint="eastAsia"/>
          <w:lang w:eastAsia="zh-HK"/>
        </w:rPr>
        <w:t>---</w:t>
      </w:r>
      <w:proofErr w:type="gramStart"/>
      <w:r w:rsidRPr="0006704E">
        <w:rPr>
          <w:rFonts w:asciiTheme="majorEastAsia" w:eastAsiaTheme="majorEastAsia" w:hAnsiTheme="majorEastAsia" w:hint="eastAsia"/>
          <w:lang w:eastAsia="zh-HK"/>
        </w:rPr>
        <w:t>續後頁</w:t>
      </w:r>
      <w:proofErr w:type="gramEnd"/>
      <w:r w:rsidRPr="0006704E">
        <w:rPr>
          <w:rFonts w:asciiTheme="majorEastAsia" w:eastAsiaTheme="majorEastAsia" w:hAnsiTheme="majorEastAsia" w:hint="eastAsia"/>
          <w:lang w:eastAsia="zh-HK"/>
        </w:rPr>
        <w:t>---</w:t>
      </w:r>
    </w:p>
    <w:p w:rsidR="00E55F74" w:rsidRPr="0006704E" w:rsidRDefault="00E55F74" w:rsidP="00E55F74">
      <w:pPr>
        <w:tabs>
          <w:tab w:val="left" w:pos="340"/>
        </w:tabs>
        <w:spacing w:line="400" w:lineRule="exact"/>
        <w:jc w:val="both"/>
        <w:rPr>
          <w:rFonts w:asciiTheme="majorEastAsia" w:eastAsiaTheme="majorEastAsia" w:hAnsiTheme="majorEastAsia"/>
          <w:sz w:val="28"/>
          <w:szCs w:val="28"/>
          <w:lang w:eastAsia="zh-HK"/>
        </w:rPr>
      </w:pPr>
      <w:r w:rsidRPr="0006704E">
        <w:rPr>
          <w:rFonts w:asciiTheme="majorEastAsia" w:eastAsiaTheme="majorEastAsia" w:hAnsiTheme="majorEastAsia" w:hint="eastAsia"/>
          <w:sz w:val="28"/>
          <w:szCs w:val="28"/>
          <w:lang w:eastAsia="zh-HK"/>
        </w:rPr>
        <w:lastRenderedPageBreak/>
        <w:t xml:space="preserve">中六級  </w:t>
      </w:r>
      <w:r w:rsidRPr="0006704E">
        <w:rPr>
          <w:rFonts w:asciiTheme="majorEastAsia" w:eastAsiaTheme="majorEastAsia" w:hAnsiTheme="majorEastAsia" w:hint="eastAsia"/>
          <w:sz w:val="28"/>
          <w:szCs w:val="28"/>
          <w:lang w:eastAsia="zh-HK"/>
        </w:rPr>
        <w:tab/>
        <w:t xml:space="preserve">                     通識科                         第</w:t>
      </w:r>
      <w:r>
        <w:rPr>
          <w:rFonts w:asciiTheme="majorEastAsia" w:eastAsiaTheme="majorEastAsia" w:hAnsiTheme="majorEastAsia" w:hint="eastAsia"/>
          <w:sz w:val="28"/>
          <w:szCs w:val="28"/>
          <w:lang w:eastAsia="zh-HK"/>
        </w:rPr>
        <w:t>二</w:t>
      </w:r>
      <w:r w:rsidRPr="0006704E">
        <w:rPr>
          <w:rFonts w:asciiTheme="majorEastAsia" w:eastAsiaTheme="majorEastAsia" w:hAnsiTheme="majorEastAsia" w:hint="eastAsia"/>
          <w:sz w:val="28"/>
          <w:szCs w:val="28"/>
          <w:lang w:eastAsia="zh-HK"/>
        </w:rPr>
        <w:t>頁</w:t>
      </w:r>
    </w:p>
    <w:p w:rsidR="00E55F74" w:rsidRPr="00E55F74" w:rsidRDefault="00E55F74" w:rsidP="00E55F74">
      <w:pPr>
        <w:rPr>
          <w:sz w:val="28"/>
          <w:szCs w:val="28"/>
        </w:rPr>
      </w:pPr>
      <w:r>
        <w:rPr>
          <w:rFonts w:hint="eastAsia"/>
        </w:rPr>
        <w:t xml:space="preserve">                             </w:t>
      </w:r>
      <w:r>
        <w:t xml:space="preserve">   </w:t>
      </w:r>
      <w:r w:rsidRPr="0006704E">
        <w:rPr>
          <w:sz w:val="28"/>
          <w:szCs w:val="28"/>
        </w:rPr>
        <w:t xml:space="preserve">   </w:t>
      </w:r>
      <w:r w:rsidRPr="0006704E">
        <w:rPr>
          <w:rFonts w:hint="eastAsia"/>
          <w:sz w:val="28"/>
          <w:szCs w:val="28"/>
        </w:rPr>
        <w:t xml:space="preserve"> (</w:t>
      </w:r>
      <w:r w:rsidRPr="0006704E">
        <w:rPr>
          <w:rFonts w:hint="eastAsia"/>
          <w:sz w:val="28"/>
          <w:szCs w:val="28"/>
        </w:rPr>
        <w:t>建議答案</w:t>
      </w:r>
      <w:r w:rsidRPr="0006704E">
        <w:rPr>
          <w:rFonts w:hint="eastAsia"/>
          <w:sz w:val="28"/>
          <w:szCs w:val="28"/>
        </w:rPr>
        <w:t>)</w:t>
      </w:r>
    </w:p>
    <w:p w:rsidR="00E55F74" w:rsidRPr="00E55F74" w:rsidRDefault="00E55F74" w:rsidP="00E55F74">
      <w:pPr>
        <w:widowControl/>
        <w:rPr>
          <w:rFonts w:eastAsiaTheme="minorEastAsia"/>
          <w:kern w:val="0"/>
        </w:rPr>
      </w:pPr>
    </w:p>
    <w:tbl>
      <w:tblPr>
        <w:tblW w:w="971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4"/>
        <w:gridCol w:w="1276"/>
      </w:tblGrid>
      <w:tr w:rsidR="002903A7" w:rsidRPr="006F4E0B" w:rsidTr="002903A7">
        <w:trPr>
          <w:trHeight w:val="697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ind w:left="240" w:hangingChars="100" w:hanging="240"/>
              <w:rPr>
                <w:rFonts w:ascii="New MingLiu" w:hAnsi="New MingLiu"/>
              </w:rPr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ascii="New MingLiu" w:hAnsi="New MingLiu" w:hint="eastAsia"/>
              </w:rPr>
              <w:t>參考所提供的資料，並運用有關知識及概念，指出及解釋兩個全球關注點，但分析或有欠詳盡的地方／傾向某些角度：或未能歸納關注點：或就資料清楚指出及充分解釋一個全球關注點</w:t>
            </w:r>
          </w:p>
          <w:p w:rsidR="002903A7" w:rsidRPr="006F4E0B" w:rsidRDefault="002903A7" w:rsidP="0064623F">
            <w:pPr>
              <w:tabs>
                <w:tab w:val="left" w:pos="1410"/>
              </w:tabs>
              <w:autoSpaceDE w:val="0"/>
              <w:autoSpaceDN w:val="0"/>
              <w:adjustRightInd w:val="0"/>
              <w:ind w:left="240" w:hangingChars="100" w:hanging="240"/>
              <w:rPr>
                <w:rFonts w:ascii="新細明體" w:hAnsi="新細明體" w:cs="新細明體"/>
              </w:rPr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ascii="New MingLiu" w:hAnsi="New MingLiu" w:hint="eastAsia"/>
              </w:rPr>
              <w:t>能運用所提供的資料中部分的相關要點，但不全面</w:t>
            </w:r>
          </w:p>
          <w:p w:rsidR="002903A7" w:rsidRPr="006F4E0B" w:rsidRDefault="002903A7" w:rsidP="0064623F">
            <w:pPr>
              <w:autoSpaceDE w:val="0"/>
              <w:autoSpaceDN w:val="0"/>
              <w:adjustRightInd w:val="0"/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ascii="New MingLiu" w:hAnsi="New MingLiu" w:hint="eastAsia"/>
              </w:rPr>
              <w:t>討論結構嚴謹，但也有欠</w:t>
            </w:r>
            <w:proofErr w:type="gramStart"/>
            <w:r w:rsidRPr="006F4E0B">
              <w:rPr>
                <w:rFonts w:ascii="New MingLiu" w:hAnsi="New MingLiu" w:hint="eastAsia"/>
              </w:rPr>
              <w:t>清晰／</w:t>
            </w:r>
            <w:proofErr w:type="gramEnd"/>
            <w:r w:rsidRPr="006F4E0B">
              <w:rPr>
                <w:rFonts w:ascii="New MingLiu" w:hAnsi="New MingLiu" w:hint="eastAsia"/>
              </w:rPr>
              <w:t>詳盡的地方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6F4E0B" w:rsidRDefault="002903A7" w:rsidP="0064623F">
            <w:pPr>
              <w:widowControl/>
              <w:jc w:val="center"/>
            </w:pPr>
            <w:r w:rsidRPr="006F4E0B">
              <w:t>3-5</w:t>
            </w:r>
          </w:p>
          <w:p w:rsidR="002903A7" w:rsidRPr="006F4E0B" w:rsidRDefault="002903A7" w:rsidP="0064623F">
            <w:pPr>
              <w:autoSpaceDE w:val="0"/>
              <w:autoSpaceDN w:val="0"/>
              <w:adjustRightInd w:val="0"/>
            </w:pPr>
          </w:p>
        </w:tc>
      </w:tr>
      <w:tr w:rsidR="002903A7" w:rsidRPr="006F4E0B" w:rsidTr="002903A7">
        <w:trPr>
          <w:trHeight w:val="697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ind w:left="240" w:hangingChars="100" w:hanging="240"/>
              <w:rPr>
                <w:rFonts w:ascii="New MingLiu" w:hAnsi="New MingLiu"/>
              </w:rPr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ascii="New MingLiu" w:hAnsi="New MingLiu" w:hint="eastAsia"/>
              </w:rPr>
              <w:t>指出及嘗試闡述一個關注點，但解釋流於片面；嘗試簡單描述一些與</w:t>
            </w:r>
            <w:r w:rsidRPr="00D60EDD">
              <w:rPr>
                <w:rFonts w:ascii="New MingLiu" w:hAnsi="New MingLiu" w:hint="eastAsia"/>
              </w:rPr>
              <w:t>網上消費</w:t>
            </w:r>
            <w:r w:rsidRPr="006F4E0B">
              <w:rPr>
                <w:rFonts w:ascii="New MingLiu" w:hAnsi="New MingLiu" w:hint="eastAsia"/>
              </w:rPr>
              <w:t>有關的問題，惟不在全球層面或並不相關；指出一個或兩個全球關注點，但未有嘗試根據所提供的資料作解釋</w:t>
            </w:r>
          </w:p>
          <w:p w:rsidR="002903A7" w:rsidRPr="006F4E0B" w:rsidRDefault="002903A7" w:rsidP="0064623F">
            <w:pPr>
              <w:tabs>
                <w:tab w:val="left" w:pos="1410"/>
              </w:tabs>
              <w:autoSpaceDE w:val="0"/>
              <w:autoSpaceDN w:val="0"/>
              <w:adjustRightInd w:val="0"/>
              <w:ind w:left="240" w:hangingChars="100" w:hanging="240"/>
              <w:rPr>
                <w:rFonts w:ascii="New MingLiu" w:hAnsi="New MingLiu"/>
                <w:kern w:val="0"/>
              </w:rPr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ascii="New MingLiu" w:hAnsi="New MingLiu" w:hint="eastAsia"/>
              </w:rPr>
              <w:t>只能運用有限資料，或有時並不恰當運用資料</w:t>
            </w:r>
          </w:p>
          <w:p w:rsidR="002903A7" w:rsidRPr="006F4E0B" w:rsidRDefault="002903A7" w:rsidP="0064623F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ascii="New MingLiu" w:hAnsi="New MingLiu" w:hint="eastAsia"/>
              </w:rPr>
              <w:t>討論欠深度，結構鬆散／欠缺焦點，表達含糊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widowControl/>
              <w:jc w:val="center"/>
            </w:pPr>
            <w:r w:rsidRPr="006F4E0B">
              <w:t>1-2</w:t>
            </w:r>
          </w:p>
        </w:tc>
      </w:tr>
      <w:tr w:rsidR="002903A7" w:rsidRPr="006F4E0B" w:rsidTr="002903A7">
        <w:trPr>
          <w:trHeight w:val="697"/>
        </w:trPr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ascii="新細明體" w:hAnsi="新細明體" w:cs="新細明體" w:hint="eastAsia"/>
              </w:rPr>
              <w:t>沒有嘗試作答</w:t>
            </w:r>
          </w:p>
          <w:p w:rsidR="002903A7" w:rsidRPr="006F4E0B" w:rsidRDefault="002903A7" w:rsidP="0064623F">
            <w:pPr>
              <w:autoSpaceDE w:val="0"/>
              <w:autoSpaceDN w:val="0"/>
              <w:adjustRightInd w:val="0"/>
              <w:ind w:rightChars="63" w:right="151"/>
              <w:rPr>
                <w:rFonts w:ascii="新細明體" w:hAnsi="新細明體"/>
              </w:rPr>
            </w:pPr>
            <w:r w:rsidRPr="006F4E0B">
              <w:rPr>
                <w:rFonts w:ascii="New MingLiu" w:hAnsi="New MingLiu"/>
                <w:kern w:val="0"/>
              </w:rPr>
              <w:t xml:space="preserve">● </w:t>
            </w:r>
            <w:r w:rsidRPr="006F4E0B">
              <w:rPr>
                <w:rFonts w:hint="eastAsia"/>
              </w:rPr>
              <w:t>所答與題目</w:t>
            </w:r>
            <w:r w:rsidRPr="006F4E0B">
              <w:rPr>
                <w:rFonts w:ascii="新細明體" w:hAnsi="新細明體" w:cs="新細明體" w:hint="eastAsia"/>
              </w:rPr>
              <w:t>毫不相干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A7" w:rsidRPr="006F4E0B" w:rsidRDefault="002903A7" w:rsidP="0064623F">
            <w:pPr>
              <w:widowControl/>
              <w:jc w:val="center"/>
            </w:pPr>
            <w:r w:rsidRPr="006F4E0B">
              <w:t>0</w:t>
            </w:r>
          </w:p>
        </w:tc>
      </w:tr>
    </w:tbl>
    <w:p w:rsidR="00E55F74" w:rsidRDefault="00E55F74" w:rsidP="00E55F74"/>
    <w:p w:rsidR="00B4599C" w:rsidRDefault="00B4599C" w:rsidP="00B4599C">
      <w:pPr>
        <w:numPr>
          <w:ilvl w:val="0"/>
          <w:numId w:val="28"/>
        </w:numPr>
        <w:rPr>
          <w:szCs w:val="22"/>
        </w:rPr>
      </w:pPr>
      <w:r w:rsidRPr="00E14A10">
        <w:rPr>
          <w:szCs w:val="22"/>
        </w:rPr>
        <w:t>描述資料</w:t>
      </w:r>
      <w:r w:rsidR="00635361">
        <w:rPr>
          <w:szCs w:val="22"/>
        </w:rPr>
        <w:t>A</w:t>
      </w:r>
      <w:r w:rsidRPr="00E14A10">
        <w:rPr>
          <w:szCs w:val="22"/>
        </w:rPr>
        <w:t>所示的</w:t>
      </w:r>
      <w:r>
        <w:rPr>
          <w:rFonts w:hint="eastAsia"/>
          <w:b/>
          <w:i/>
          <w:szCs w:val="22"/>
        </w:rPr>
        <w:t>一</w:t>
      </w:r>
      <w:r w:rsidRPr="000F410B">
        <w:rPr>
          <w:b/>
          <w:i/>
          <w:szCs w:val="22"/>
        </w:rPr>
        <w:t>個</w:t>
      </w:r>
      <w:r w:rsidRPr="00E14A10">
        <w:rPr>
          <w:szCs w:val="22"/>
        </w:rPr>
        <w:t>主要特徵。</w:t>
      </w:r>
      <w:r w:rsidRPr="00E14A10">
        <w:rPr>
          <w:szCs w:val="22"/>
        </w:rPr>
        <w:tab/>
      </w:r>
      <w:r w:rsidRPr="00E14A10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E14A10">
        <w:rPr>
          <w:szCs w:val="22"/>
        </w:rPr>
        <w:t>(</w:t>
      </w:r>
      <w:r>
        <w:rPr>
          <w:rFonts w:hint="eastAsia"/>
          <w:szCs w:val="22"/>
        </w:rPr>
        <w:t>4</w:t>
      </w:r>
      <w:r w:rsidRPr="00E14A10">
        <w:rPr>
          <w:szCs w:val="22"/>
        </w:rPr>
        <w:t>分</w:t>
      </w:r>
      <w:r w:rsidRPr="00E14A10">
        <w:rPr>
          <w:szCs w:val="22"/>
        </w:rPr>
        <w:t>)</w:t>
      </w:r>
    </w:p>
    <w:p w:rsidR="00B4599C" w:rsidRDefault="00B4599C" w:rsidP="00B4599C">
      <w:pPr>
        <w:ind w:firstLineChars="200" w:firstLine="480"/>
        <w:rPr>
          <w:rFonts w:ascii="新細明體" w:hAnsi="新細明體"/>
          <w:szCs w:val="22"/>
        </w:rPr>
      </w:pPr>
      <w:r>
        <w:rPr>
          <w:rFonts w:hint="eastAsia"/>
          <w:szCs w:val="22"/>
        </w:rPr>
        <w:t>國家的人均生產總值及</w:t>
      </w:r>
      <w:r w:rsidRPr="00DD4E1F">
        <w:rPr>
          <w:rFonts w:ascii="新細明體" w:hAnsi="新細明體" w:hint="eastAsia"/>
          <w:szCs w:val="22"/>
        </w:rPr>
        <w:t>認同自己是世界公民的百分比成反比關係。</w:t>
      </w:r>
    </w:p>
    <w:p w:rsidR="00B4599C" w:rsidRDefault="00B4599C" w:rsidP="00B4599C">
      <w:pPr>
        <w:ind w:left="480"/>
        <w:rPr>
          <w:szCs w:val="22"/>
        </w:rPr>
      </w:pPr>
      <w:r w:rsidRPr="00DD4E1F">
        <w:rPr>
          <w:rFonts w:ascii="新細明體" w:hAnsi="新細明體" w:hint="eastAsia"/>
          <w:szCs w:val="22"/>
        </w:rPr>
        <w:t>根據資料</w:t>
      </w:r>
      <w:r w:rsidR="00635361">
        <w:rPr>
          <w:szCs w:val="22"/>
        </w:rPr>
        <w:t>A</w:t>
      </w:r>
      <w:r w:rsidRPr="00DD4E1F">
        <w:rPr>
          <w:rFonts w:ascii="新細明體" w:hAnsi="新細明體" w:hint="eastAsia"/>
          <w:szCs w:val="22"/>
        </w:rPr>
        <w:t>，一些新興</w:t>
      </w:r>
      <w:r>
        <w:rPr>
          <w:rFonts w:ascii="新細明體" w:hAnsi="新細明體" w:hint="eastAsia"/>
          <w:szCs w:val="22"/>
          <w:lang w:eastAsia="zh-HK"/>
        </w:rPr>
        <w:t>、</w:t>
      </w:r>
      <w:r w:rsidRPr="00DD4E1F">
        <w:rPr>
          <w:rFonts w:ascii="新細明體" w:hAnsi="新細明體" w:hint="eastAsia"/>
          <w:szCs w:val="22"/>
        </w:rPr>
        <w:t>經濟</w:t>
      </w:r>
      <w:r>
        <w:rPr>
          <w:rFonts w:ascii="新細明體" w:hAnsi="新細明體" w:hint="eastAsia"/>
          <w:szCs w:val="22"/>
          <w:lang w:eastAsia="zh-HK"/>
        </w:rPr>
        <w:t>快速</w:t>
      </w:r>
      <w:r w:rsidRPr="00DD4E1F">
        <w:rPr>
          <w:rFonts w:ascii="新細明體" w:hAnsi="新細明體" w:hint="eastAsia"/>
          <w:szCs w:val="22"/>
        </w:rPr>
        <w:t>發展國家 / 金磚五國 / 發展中國家 如印度、南非、巴西、中國等人均生產總值平均為</w:t>
      </w:r>
      <w:r w:rsidRPr="00DD4E1F">
        <w:rPr>
          <w:szCs w:val="22"/>
        </w:rPr>
        <w:t>6483.25</w:t>
      </w:r>
      <w:r w:rsidRPr="00DD4E1F">
        <w:rPr>
          <w:szCs w:val="22"/>
        </w:rPr>
        <w:t>美元，</w:t>
      </w:r>
      <w:r w:rsidRPr="00DD4E1F">
        <w:rPr>
          <w:rFonts w:hint="eastAsia"/>
          <w:szCs w:val="22"/>
        </w:rPr>
        <w:t>相對較低，但這些國家</w:t>
      </w:r>
      <w:r w:rsidRPr="00B92124">
        <w:rPr>
          <w:rFonts w:ascii="新細明體" w:hAnsi="新細明體" w:hint="eastAsia"/>
          <w:szCs w:val="22"/>
        </w:rPr>
        <w:t>認同自己是世界公民的百分比</w:t>
      </w:r>
      <w:r>
        <w:rPr>
          <w:rFonts w:ascii="新細明體" w:hAnsi="新細明體" w:hint="eastAsia"/>
          <w:szCs w:val="22"/>
        </w:rPr>
        <w:t>相對較高，其平均值為</w:t>
      </w:r>
      <w:r w:rsidRPr="00DD4E1F">
        <w:rPr>
          <w:szCs w:val="22"/>
        </w:rPr>
        <w:t>85.25%</w:t>
      </w:r>
      <w:r w:rsidRPr="00DD4E1F">
        <w:rPr>
          <w:rFonts w:hint="eastAsia"/>
          <w:szCs w:val="22"/>
        </w:rPr>
        <w:t>；</w:t>
      </w:r>
    </w:p>
    <w:p w:rsidR="00B4599C" w:rsidRDefault="00B4599C" w:rsidP="00B4599C">
      <w:pPr>
        <w:ind w:left="480"/>
        <w:rPr>
          <w:szCs w:val="22"/>
        </w:rPr>
      </w:pPr>
    </w:p>
    <w:p w:rsidR="00B4599C" w:rsidRDefault="00B4599C" w:rsidP="00B4599C">
      <w:pPr>
        <w:ind w:left="480"/>
        <w:rPr>
          <w:rFonts w:ascii="新細明體" w:hAnsi="新細明體"/>
          <w:szCs w:val="22"/>
        </w:rPr>
      </w:pPr>
      <w:r w:rsidRPr="00DD4E1F">
        <w:rPr>
          <w:rFonts w:hint="eastAsia"/>
          <w:szCs w:val="22"/>
        </w:rPr>
        <w:t>相反，已發展國家</w:t>
      </w:r>
      <w:r w:rsidRPr="00DD4E1F">
        <w:rPr>
          <w:rFonts w:hint="eastAsia"/>
          <w:szCs w:val="22"/>
        </w:rPr>
        <w:t xml:space="preserve"> </w:t>
      </w:r>
      <w:r w:rsidRPr="00DD4E1F">
        <w:rPr>
          <w:rFonts w:hint="eastAsia"/>
          <w:szCs w:val="22"/>
        </w:rPr>
        <w:t>如美國、澳洲、英國及德國的</w:t>
      </w:r>
      <w:r w:rsidRPr="00B92124">
        <w:rPr>
          <w:rFonts w:ascii="新細明體" w:hAnsi="新細明體" w:hint="eastAsia"/>
          <w:szCs w:val="22"/>
        </w:rPr>
        <w:t>人均生產總值平均為</w:t>
      </w:r>
      <w:r w:rsidRPr="00B92124">
        <w:rPr>
          <w:szCs w:val="22"/>
        </w:rPr>
        <w:t>5</w:t>
      </w:r>
      <w:r>
        <w:rPr>
          <w:rFonts w:hint="eastAsia"/>
          <w:szCs w:val="22"/>
        </w:rPr>
        <w:t>1472</w:t>
      </w:r>
      <w:r w:rsidRPr="00B92124">
        <w:rPr>
          <w:szCs w:val="22"/>
        </w:rPr>
        <w:t>美元，</w:t>
      </w:r>
      <w:r w:rsidRPr="00B92124">
        <w:rPr>
          <w:rFonts w:hint="eastAsia"/>
          <w:szCs w:val="22"/>
        </w:rPr>
        <w:t>相對較</w:t>
      </w:r>
      <w:r>
        <w:rPr>
          <w:rFonts w:hint="eastAsia"/>
          <w:szCs w:val="22"/>
        </w:rPr>
        <w:t>高</w:t>
      </w:r>
      <w:r w:rsidRPr="00B92124">
        <w:rPr>
          <w:rFonts w:hint="eastAsia"/>
          <w:szCs w:val="22"/>
        </w:rPr>
        <w:t>，</w:t>
      </w:r>
      <w:r>
        <w:rPr>
          <w:rFonts w:hint="eastAsia"/>
          <w:szCs w:val="22"/>
        </w:rPr>
        <w:t>但</w:t>
      </w:r>
      <w:r w:rsidRPr="00B92124">
        <w:rPr>
          <w:rFonts w:hint="eastAsia"/>
          <w:szCs w:val="22"/>
        </w:rPr>
        <w:t>這些國家</w:t>
      </w:r>
      <w:r w:rsidRPr="00B92124">
        <w:rPr>
          <w:rFonts w:ascii="新細明體" w:hAnsi="新細明體" w:hint="eastAsia"/>
          <w:szCs w:val="22"/>
        </w:rPr>
        <w:t>認同自己是世界公民的百分比</w:t>
      </w:r>
      <w:r>
        <w:rPr>
          <w:rFonts w:ascii="新細明體" w:hAnsi="新細明體" w:hint="eastAsia"/>
          <w:szCs w:val="22"/>
        </w:rPr>
        <w:t>相對較低，其平均值為</w:t>
      </w:r>
      <w:r>
        <w:rPr>
          <w:rFonts w:hint="eastAsia"/>
          <w:szCs w:val="22"/>
        </w:rPr>
        <w:t>64</w:t>
      </w:r>
      <w:r w:rsidRPr="00B92124">
        <w:rPr>
          <w:szCs w:val="22"/>
        </w:rPr>
        <w:t>%</w:t>
      </w:r>
      <w:r>
        <w:rPr>
          <w:rFonts w:hint="eastAsia"/>
          <w:szCs w:val="22"/>
        </w:rPr>
        <w:t>。由此可見，國家的人均生產總值及</w:t>
      </w:r>
      <w:r w:rsidRPr="00B92124">
        <w:rPr>
          <w:rFonts w:ascii="新細明體" w:hAnsi="新細明體" w:hint="eastAsia"/>
          <w:szCs w:val="22"/>
        </w:rPr>
        <w:t>認同自己是世界公民的百分比成反比關係</w:t>
      </w:r>
      <w:r>
        <w:rPr>
          <w:rFonts w:ascii="新細明體" w:hAnsi="新細明體" w:hint="eastAsia"/>
          <w:szCs w:val="22"/>
        </w:rPr>
        <w:t>。</w:t>
      </w:r>
    </w:p>
    <w:p w:rsidR="00B4599C" w:rsidRDefault="00B4599C" w:rsidP="00B4599C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>或其他合理答案</w:t>
      </w:r>
    </w:p>
    <w:p w:rsidR="00B4599C" w:rsidRDefault="00B4599C" w:rsidP="00B4599C">
      <w:pPr>
        <w:ind w:left="480"/>
        <w:rPr>
          <w:rFonts w:ascii="新細明體" w:hAnsi="新細明體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2"/>
        <w:gridCol w:w="833"/>
      </w:tblGrid>
      <w:tr w:rsidR="00B4599C" w:rsidTr="0064623F"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C" w:rsidRDefault="00B4599C" w:rsidP="0064623F">
            <w:pPr>
              <w:rPr>
                <w:rFonts w:ascii="新細明體" w:hAnsi="新細明體"/>
                <w:b/>
              </w:rPr>
            </w:pPr>
            <w:proofErr w:type="gramStart"/>
            <w:r>
              <w:rPr>
                <w:rFonts w:ascii="新細明體" w:hAnsi="新細明體" w:hint="eastAsia"/>
                <w:b/>
              </w:rPr>
              <w:t>建議評改準則</w:t>
            </w:r>
            <w:proofErr w:type="gram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C" w:rsidRDefault="00B4599C" w:rsidP="0064623F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分數</w:t>
            </w:r>
          </w:p>
        </w:tc>
      </w:tr>
      <w:tr w:rsidR="00B4599C" w:rsidTr="0064623F"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C" w:rsidRDefault="00B4599C" w:rsidP="00635361">
            <w:r>
              <w:rPr>
                <w:rFonts w:hint="eastAsia"/>
              </w:rPr>
              <w:t>能適當及全面地運用資料，清楚指出資料</w:t>
            </w:r>
            <w:r w:rsidR="00635361">
              <w:t>A</w:t>
            </w:r>
            <w:r>
              <w:rPr>
                <w:rFonts w:hint="eastAsia"/>
              </w:rPr>
              <w:t>中</w:t>
            </w:r>
            <w:r w:rsidRPr="00E14A10">
              <w:rPr>
                <w:szCs w:val="22"/>
              </w:rPr>
              <w:t>所示的</w:t>
            </w:r>
            <w:r w:rsidRPr="005C08D7">
              <w:rPr>
                <w:rFonts w:hint="eastAsia"/>
                <w:szCs w:val="22"/>
              </w:rPr>
              <w:t>一</w:t>
            </w:r>
            <w:r w:rsidRPr="005C08D7">
              <w:rPr>
                <w:szCs w:val="22"/>
              </w:rPr>
              <w:t>個</w:t>
            </w:r>
            <w:r w:rsidRPr="00E14A10">
              <w:rPr>
                <w:szCs w:val="22"/>
              </w:rPr>
              <w:t>主要特徵</w:t>
            </w:r>
            <w:r>
              <w:rPr>
                <w:rStyle w:val="aa"/>
                <w:rFonts w:eastAsia="細明體" w:hint="eastAsia"/>
                <w:b w:val="0"/>
                <w:color w:val="000000"/>
                <w:shd w:val="clear" w:color="auto" w:fill="FFFFFF"/>
              </w:rPr>
              <w:t>，</w:t>
            </w:r>
            <w:r>
              <w:rPr>
                <w:rFonts w:hint="eastAsia"/>
              </w:rPr>
              <w:t>展現優異的運算能力及闡釋能力，討論結構嚴謹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C" w:rsidRDefault="00B4599C" w:rsidP="0064623F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B4599C" w:rsidTr="0064623F"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C" w:rsidRDefault="00B4599C" w:rsidP="0064623F">
            <w:r>
              <w:t>能運用所提供的資料中部分相關的要點，但不全</w:t>
            </w:r>
            <w:r>
              <w:rPr>
                <w:rFonts w:ascii="新細明體" w:hAnsi="新細明體" w:cs="新細明體" w:hint="eastAsia"/>
              </w:rPr>
              <w:t>面；例如</w:t>
            </w:r>
            <w:r>
              <w:t>指出有關</w:t>
            </w:r>
            <w:r>
              <w:rPr>
                <w:rFonts w:hint="eastAsia"/>
              </w:rPr>
              <w:t>特徵</w:t>
            </w:r>
            <w:r>
              <w:t>，但只利用有限資料作簡單描述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C" w:rsidRDefault="00B4599C" w:rsidP="0064623F">
            <w:pPr>
              <w:jc w:val="center"/>
            </w:pPr>
            <w:r>
              <w:rPr>
                <w:rFonts w:hint="eastAsia"/>
              </w:rPr>
              <w:t>2</w:t>
            </w:r>
            <w:r>
              <w:t xml:space="preserve"> – </w:t>
            </w:r>
            <w:r>
              <w:rPr>
                <w:rFonts w:hint="eastAsia"/>
              </w:rPr>
              <w:t>3</w:t>
            </w:r>
          </w:p>
        </w:tc>
      </w:tr>
      <w:tr w:rsidR="00B4599C" w:rsidTr="0064623F"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C" w:rsidRDefault="00B4599C" w:rsidP="00635361">
            <w:r>
              <w:rPr>
                <w:rFonts w:hint="eastAsia"/>
              </w:rPr>
              <w:t>只能有限地運用資料</w:t>
            </w:r>
            <w:r w:rsidR="00635361">
              <w:t>A</w:t>
            </w:r>
            <w:r>
              <w:rPr>
                <w:rFonts w:hint="eastAsia"/>
              </w:rPr>
              <w:t>，指出部分數據的分析，討論結構鬆散，</w:t>
            </w:r>
            <w:r>
              <w:t>部分描述或不正</w:t>
            </w:r>
            <w:r>
              <w:rPr>
                <w:rFonts w:ascii="新細明體" w:hAnsi="新細明體" w:cs="新細明體" w:hint="eastAsia"/>
              </w:rPr>
              <w:t>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C" w:rsidRDefault="00B4599C" w:rsidP="0064623F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4599C" w:rsidTr="0064623F"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99C" w:rsidRDefault="00B4599C" w:rsidP="0064623F">
            <w:pPr>
              <w:rPr>
                <w:lang w:eastAsia="zh-HK"/>
              </w:rPr>
            </w:pPr>
            <w:r>
              <w:rPr>
                <w:rFonts w:hint="eastAsia"/>
              </w:rPr>
              <w:t>沒有嘗試作答或所答與題目毫不相干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9C" w:rsidRDefault="00B4599C" w:rsidP="0064623F">
            <w:pPr>
              <w:jc w:val="center"/>
            </w:pPr>
            <w:r>
              <w:t>0</w:t>
            </w:r>
          </w:p>
        </w:tc>
      </w:tr>
    </w:tbl>
    <w:p w:rsidR="00B4599C" w:rsidRDefault="00B4599C" w:rsidP="00B4599C">
      <w:pPr>
        <w:ind w:left="480"/>
        <w:rPr>
          <w:rFonts w:ascii="新細明體" w:hAnsi="新細明體"/>
          <w:szCs w:val="22"/>
        </w:rPr>
      </w:pPr>
    </w:p>
    <w:p w:rsidR="00B4599C" w:rsidRPr="00B4599C" w:rsidRDefault="00B4599C" w:rsidP="00B4599C">
      <w:pPr>
        <w:numPr>
          <w:ilvl w:val="0"/>
          <w:numId w:val="28"/>
        </w:numPr>
        <w:rPr>
          <w:szCs w:val="22"/>
        </w:rPr>
      </w:pPr>
      <w:r w:rsidRPr="00E14A10">
        <w:rPr>
          <w:szCs w:val="22"/>
        </w:rPr>
        <w:t>「全球化能提升世界公民的身份認同。」</w:t>
      </w:r>
      <w:r w:rsidR="007D7AEB" w:rsidRPr="00194CBE">
        <w:rPr>
          <w:rFonts w:hint="eastAsia"/>
          <w:kern w:val="0"/>
        </w:rPr>
        <w:t>利用所提供的資料，說明</w:t>
      </w:r>
      <w:r w:rsidR="007D7AEB" w:rsidRPr="00194CBE">
        <w:rPr>
          <w:rFonts w:hint="eastAsia"/>
          <w:b/>
          <w:bCs/>
          <w:i/>
          <w:iCs/>
          <w:kern w:val="0"/>
        </w:rPr>
        <w:t>一個</w:t>
      </w:r>
      <w:r w:rsidR="007D7AEB" w:rsidRPr="00194CBE">
        <w:rPr>
          <w:rFonts w:hint="eastAsia"/>
          <w:kern w:val="0"/>
        </w:rPr>
        <w:t>支持及</w:t>
      </w:r>
      <w:r w:rsidR="007D7AEB" w:rsidRPr="00194CBE">
        <w:rPr>
          <w:rFonts w:hint="eastAsia"/>
          <w:b/>
          <w:bCs/>
          <w:i/>
          <w:iCs/>
          <w:kern w:val="0"/>
        </w:rPr>
        <w:t>一個</w:t>
      </w:r>
      <w:r w:rsidR="007D7AEB" w:rsidRPr="00194CBE">
        <w:rPr>
          <w:rFonts w:hint="eastAsia"/>
          <w:kern w:val="0"/>
        </w:rPr>
        <w:t>反對這項聲稱的論據</w:t>
      </w:r>
      <w:r w:rsidR="007D7AEB" w:rsidRPr="00194CBE">
        <w:rPr>
          <w:kern w:val="0"/>
        </w:rPr>
        <w:t>。</w:t>
      </w:r>
      <w:r w:rsidR="007D7AEB" w:rsidRPr="00A11537">
        <w:rPr>
          <w:rFonts w:eastAsia="Times New Roman"/>
        </w:rPr>
        <w:tab/>
      </w:r>
      <w:r w:rsidRPr="00E14A10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</w:t>
      </w:r>
      <w:r w:rsidR="007D7AEB">
        <w:rPr>
          <w:szCs w:val="22"/>
        </w:rPr>
        <w:t xml:space="preserve">                        </w:t>
      </w:r>
      <w:r w:rsidRPr="00E14A10">
        <w:rPr>
          <w:szCs w:val="22"/>
        </w:rPr>
        <w:t>(8</w:t>
      </w:r>
      <w:r w:rsidRPr="00E14A10">
        <w:rPr>
          <w:szCs w:val="22"/>
        </w:rPr>
        <w:t>分</w:t>
      </w:r>
      <w:r w:rsidRPr="00E14A10">
        <w:rPr>
          <w:szCs w:val="22"/>
        </w:rPr>
        <w:t>)</w:t>
      </w:r>
    </w:p>
    <w:p w:rsidR="00B4599C" w:rsidRDefault="00B4599C" w:rsidP="00B4599C">
      <w:pPr>
        <w:numPr>
          <w:ilvl w:val="1"/>
          <w:numId w:val="30"/>
        </w:numPr>
      </w:pPr>
      <w:r>
        <w:rPr>
          <w:rFonts w:hint="eastAsia"/>
        </w:rPr>
        <w:t>全球化：</w:t>
      </w:r>
    </w:p>
    <w:p w:rsidR="00B4599C" w:rsidRDefault="00B4599C" w:rsidP="00B4599C">
      <w:pPr>
        <w:numPr>
          <w:ilvl w:val="2"/>
          <w:numId w:val="30"/>
        </w:numPr>
      </w:pPr>
      <w:r>
        <w:rPr>
          <w:rFonts w:hint="eastAsia"/>
        </w:rPr>
        <w:t>可指不同</w:t>
      </w:r>
      <w:r>
        <w:rPr>
          <w:rFonts w:hint="eastAsia"/>
          <w:lang w:eastAsia="zh-HK"/>
        </w:rPr>
        <w:t>層面的</w:t>
      </w:r>
      <w:r>
        <w:rPr>
          <w:rFonts w:hint="eastAsia"/>
        </w:rPr>
        <w:t>全球化現象，如時空</w:t>
      </w:r>
      <w:r>
        <w:rPr>
          <w:rFonts w:hint="eastAsia"/>
          <w:lang w:eastAsia="zh-HK"/>
        </w:rPr>
        <w:t>間的</w:t>
      </w:r>
      <w:r>
        <w:rPr>
          <w:rFonts w:hint="eastAsia"/>
        </w:rPr>
        <w:t>壓縮、全球資訊快速流動、各國疆界的阻隔消失、文化融合</w:t>
      </w:r>
      <w:r>
        <w:rPr>
          <w:rFonts w:hint="eastAsia"/>
        </w:rPr>
        <w:t xml:space="preserve"> / </w:t>
      </w:r>
      <w:r>
        <w:rPr>
          <w:rFonts w:hint="eastAsia"/>
        </w:rPr>
        <w:t>文化單一化、</w:t>
      </w:r>
    </w:p>
    <w:p w:rsidR="00B4599C" w:rsidRDefault="00B4599C" w:rsidP="00B4599C">
      <w:pPr>
        <w:numPr>
          <w:ilvl w:val="2"/>
          <w:numId w:val="30"/>
        </w:numPr>
      </w:pPr>
      <w:r>
        <w:rPr>
          <w:rFonts w:hint="eastAsia"/>
        </w:rPr>
        <w:t>全球</w:t>
      </w:r>
      <w:r>
        <w:rPr>
          <w:rFonts w:hint="eastAsia"/>
          <w:lang w:eastAsia="zh-HK"/>
        </w:rPr>
        <w:t>在各個範疇，例如經濟、文化、</w:t>
      </w:r>
      <w:proofErr w:type="gramStart"/>
      <w:r>
        <w:rPr>
          <w:rFonts w:hint="eastAsia"/>
          <w:lang w:eastAsia="zh-HK"/>
        </w:rPr>
        <w:t>政治等漸趨</w:t>
      </w:r>
      <w:proofErr w:type="gramEnd"/>
      <w:r>
        <w:rPr>
          <w:rFonts w:hint="eastAsia"/>
        </w:rPr>
        <w:t>一體化</w:t>
      </w:r>
    </w:p>
    <w:p w:rsidR="00B4599C" w:rsidRDefault="00B4599C" w:rsidP="00B4599C">
      <w:pPr>
        <w:numPr>
          <w:ilvl w:val="1"/>
          <w:numId w:val="30"/>
        </w:numPr>
      </w:pPr>
      <w:r>
        <w:rPr>
          <w:rFonts w:hint="eastAsia"/>
        </w:rPr>
        <w:t>身份認同的建立：</w:t>
      </w:r>
    </w:p>
    <w:p w:rsidR="00B4599C" w:rsidRDefault="00B4599C" w:rsidP="00B4599C">
      <w:pPr>
        <w:numPr>
          <w:ilvl w:val="2"/>
          <w:numId w:val="30"/>
        </w:numPr>
      </w:pPr>
      <w:r>
        <w:rPr>
          <w:rFonts w:hint="eastAsia"/>
        </w:rPr>
        <w:t>可以分為四個層級，分別是認知、情感、意識及行為</w:t>
      </w:r>
    </w:p>
    <w:p w:rsidR="00B4599C" w:rsidRPr="00B4599C" w:rsidRDefault="00B4599C" w:rsidP="00E55F74">
      <w:pPr>
        <w:numPr>
          <w:ilvl w:val="2"/>
          <w:numId w:val="30"/>
        </w:numPr>
      </w:pPr>
      <w:r>
        <w:rPr>
          <w:rFonts w:hint="eastAsia"/>
          <w:lang w:eastAsia="zh-HK"/>
        </w:rPr>
        <w:t>同一身分認同的人一般都會一些共同的集體經驗、有類近的價值觀，甚至會因其身分認同有相同的行動</w:t>
      </w:r>
    </w:p>
    <w:p w:rsidR="00E55F74" w:rsidRDefault="00E55F74" w:rsidP="00E55F74">
      <w:pPr>
        <w:widowControl/>
        <w:jc w:val="center"/>
        <w:rPr>
          <w:rFonts w:asciiTheme="majorEastAsia" w:eastAsiaTheme="majorEastAsia" w:hAnsiTheme="majorEastAsia"/>
          <w:lang w:eastAsia="zh-HK"/>
        </w:rPr>
      </w:pPr>
      <w:r w:rsidRPr="0006704E">
        <w:rPr>
          <w:rFonts w:asciiTheme="majorEastAsia" w:eastAsiaTheme="majorEastAsia" w:hAnsiTheme="majorEastAsia" w:hint="eastAsia"/>
          <w:lang w:eastAsia="zh-HK"/>
        </w:rPr>
        <w:t>---</w:t>
      </w:r>
      <w:proofErr w:type="gramStart"/>
      <w:r w:rsidRPr="0006704E">
        <w:rPr>
          <w:rFonts w:asciiTheme="majorEastAsia" w:eastAsiaTheme="majorEastAsia" w:hAnsiTheme="majorEastAsia" w:hint="eastAsia"/>
          <w:lang w:eastAsia="zh-HK"/>
        </w:rPr>
        <w:t>續後頁</w:t>
      </w:r>
      <w:proofErr w:type="gramEnd"/>
      <w:r w:rsidRPr="0006704E">
        <w:rPr>
          <w:rFonts w:asciiTheme="majorEastAsia" w:eastAsiaTheme="majorEastAsia" w:hAnsiTheme="majorEastAsia" w:hint="eastAsia"/>
          <w:lang w:eastAsia="zh-HK"/>
        </w:rPr>
        <w:t>---</w:t>
      </w:r>
    </w:p>
    <w:p w:rsidR="00E55F74" w:rsidRPr="0006704E" w:rsidRDefault="00E55F74" w:rsidP="00E55F74">
      <w:pPr>
        <w:tabs>
          <w:tab w:val="left" w:pos="340"/>
        </w:tabs>
        <w:spacing w:line="400" w:lineRule="exact"/>
        <w:jc w:val="both"/>
        <w:rPr>
          <w:rFonts w:asciiTheme="majorEastAsia" w:eastAsiaTheme="majorEastAsia" w:hAnsiTheme="majorEastAsia"/>
          <w:sz w:val="28"/>
          <w:szCs w:val="28"/>
          <w:lang w:eastAsia="zh-HK"/>
        </w:rPr>
      </w:pPr>
      <w:r w:rsidRPr="0006704E">
        <w:rPr>
          <w:rFonts w:asciiTheme="majorEastAsia" w:eastAsiaTheme="majorEastAsia" w:hAnsiTheme="majorEastAsia" w:hint="eastAsia"/>
          <w:sz w:val="28"/>
          <w:szCs w:val="28"/>
          <w:lang w:eastAsia="zh-HK"/>
        </w:rPr>
        <w:lastRenderedPageBreak/>
        <w:t xml:space="preserve">中六級  </w:t>
      </w:r>
      <w:r w:rsidRPr="0006704E">
        <w:rPr>
          <w:rFonts w:asciiTheme="majorEastAsia" w:eastAsiaTheme="majorEastAsia" w:hAnsiTheme="majorEastAsia" w:hint="eastAsia"/>
          <w:sz w:val="28"/>
          <w:szCs w:val="28"/>
          <w:lang w:eastAsia="zh-HK"/>
        </w:rPr>
        <w:tab/>
        <w:t xml:space="preserve">                     通識科                         第</w:t>
      </w:r>
      <w:r>
        <w:rPr>
          <w:rFonts w:asciiTheme="majorEastAsia" w:eastAsiaTheme="majorEastAsia" w:hAnsiTheme="majorEastAsia" w:hint="eastAsia"/>
          <w:sz w:val="28"/>
          <w:szCs w:val="28"/>
          <w:lang w:eastAsia="zh-HK"/>
        </w:rPr>
        <w:t>三</w:t>
      </w:r>
      <w:r w:rsidRPr="0006704E">
        <w:rPr>
          <w:rFonts w:asciiTheme="majorEastAsia" w:eastAsiaTheme="majorEastAsia" w:hAnsiTheme="majorEastAsia" w:hint="eastAsia"/>
          <w:sz w:val="28"/>
          <w:szCs w:val="28"/>
          <w:lang w:eastAsia="zh-HK"/>
        </w:rPr>
        <w:t>頁</w:t>
      </w:r>
    </w:p>
    <w:p w:rsidR="00E55F74" w:rsidRPr="00E55F74" w:rsidRDefault="00E55F74" w:rsidP="00E55F74">
      <w:pPr>
        <w:rPr>
          <w:sz w:val="28"/>
          <w:szCs w:val="28"/>
        </w:rPr>
      </w:pPr>
      <w:r>
        <w:rPr>
          <w:rFonts w:hint="eastAsia"/>
        </w:rPr>
        <w:t xml:space="preserve">                             </w:t>
      </w:r>
      <w:r>
        <w:t xml:space="preserve">   </w:t>
      </w:r>
      <w:r w:rsidRPr="0006704E">
        <w:rPr>
          <w:sz w:val="28"/>
          <w:szCs w:val="28"/>
        </w:rPr>
        <w:t xml:space="preserve">   </w:t>
      </w:r>
      <w:r w:rsidRPr="0006704E">
        <w:rPr>
          <w:rFonts w:hint="eastAsia"/>
          <w:sz w:val="28"/>
          <w:szCs w:val="28"/>
        </w:rPr>
        <w:t xml:space="preserve"> (</w:t>
      </w:r>
      <w:r w:rsidRPr="0006704E">
        <w:rPr>
          <w:rFonts w:hint="eastAsia"/>
          <w:sz w:val="28"/>
          <w:szCs w:val="28"/>
        </w:rPr>
        <w:t>建議答案</w:t>
      </w:r>
      <w:r w:rsidRPr="0006704E">
        <w:rPr>
          <w:rFonts w:hint="eastAsia"/>
          <w:sz w:val="28"/>
          <w:szCs w:val="28"/>
        </w:rPr>
        <w:t>)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358"/>
      </w:tblGrid>
      <w:tr w:rsidR="00B003C3" w:rsidTr="00B003C3">
        <w:tc>
          <w:tcPr>
            <w:tcW w:w="5104" w:type="dxa"/>
            <w:shd w:val="clear" w:color="auto" w:fill="auto"/>
          </w:tcPr>
          <w:p w:rsidR="00B003C3" w:rsidRPr="00DD4E1F" w:rsidRDefault="00F65ABB" w:rsidP="0064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支持的論點</w:t>
            </w:r>
          </w:p>
        </w:tc>
        <w:tc>
          <w:tcPr>
            <w:tcW w:w="5358" w:type="dxa"/>
            <w:shd w:val="clear" w:color="auto" w:fill="auto"/>
          </w:tcPr>
          <w:p w:rsidR="00B003C3" w:rsidRPr="00DD4E1F" w:rsidRDefault="00F65ABB" w:rsidP="0064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反對</w:t>
            </w:r>
            <w:r>
              <w:rPr>
                <w:rFonts w:hint="eastAsia"/>
                <w:b/>
              </w:rPr>
              <w:t>的論點</w:t>
            </w:r>
          </w:p>
        </w:tc>
      </w:tr>
      <w:tr w:rsidR="00B003C3" w:rsidTr="00B003C3">
        <w:tc>
          <w:tcPr>
            <w:tcW w:w="5104" w:type="dxa"/>
            <w:shd w:val="clear" w:color="auto" w:fill="auto"/>
          </w:tcPr>
          <w:p w:rsidR="00B003C3" w:rsidRDefault="00B003C3" w:rsidP="0064623F">
            <w:pPr>
              <w:rPr>
                <w:b/>
                <w:szCs w:val="22"/>
              </w:rPr>
            </w:pPr>
            <w:r w:rsidRPr="00DD4E1F">
              <w:rPr>
                <w:rFonts w:hint="eastAsia"/>
                <w:b/>
              </w:rPr>
              <w:t>全球化能讓人們意識</w:t>
            </w:r>
            <w:r w:rsidRPr="00DD4E1F">
              <w:rPr>
                <w:rFonts w:hint="eastAsia"/>
                <w:b/>
                <w:szCs w:val="22"/>
              </w:rPr>
              <w:t>自己擁有世界公民的身份。</w:t>
            </w:r>
          </w:p>
          <w:p w:rsidR="00B003C3" w:rsidRPr="00DD4E1F" w:rsidRDefault="00B003C3" w:rsidP="00B003C3">
            <w:pPr>
              <w:rPr>
                <w:rFonts w:ascii="標楷體" w:eastAsia="標楷體" w:hAnsi="標楷體"/>
                <w:b/>
                <w:szCs w:val="22"/>
              </w:rPr>
            </w:pPr>
            <w:r w:rsidRPr="008E7C05">
              <w:rPr>
                <w:rFonts w:hint="eastAsia"/>
              </w:rPr>
              <w:t>根據資料</w:t>
            </w:r>
            <w:r>
              <w:rPr>
                <w:rFonts w:hint="eastAsia"/>
              </w:rPr>
              <w:t>B</w:t>
            </w:r>
            <w:r w:rsidRPr="008E7C05">
              <w:rPr>
                <w:rFonts w:hint="eastAsia"/>
              </w:rPr>
              <w:t>，</w:t>
            </w:r>
            <w:r w:rsidRPr="00DD4E1F">
              <w:rPr>
                <w:rFonts w:eastAsia="標楷體"/>
                <w:b/>
                <w:szCs w:val="22"/>
              </w:rPr>
              <w:t>世界公民意識的形成，跟日新月異的傳播科技有莫大關聯，網路使人們輕易就可獲得地球另一端的資訊，而在社群媒體上得以發聲通常也是意識到個人與世</w:t>
            </w:r>
            <w:bookmarkStart w:id="0" w:name="_GoBack"/>
            <w:bookmarkEnd w:id="0"/>
            <w:r w:rsidRPr="00DD4E1F">
              <w:rPr>
                <w:rFonts w:eastAsia="標楷體"/>
                <w:b/>
                <w:szCs w:val="22"/>
              </w:rPr>
              <w:t>界關聯性的重要條件。</w:t>
            </w:r>
            <w:r w:rsidRPr="00DD4E1F">
              <w:rPr>
                <w:rFonts w:ascii="新細明體" w:hAnsi="新細明體" w:hint="eastAsia"/>
                <w:szCs w:val="22"/>
              </w:rPr>
              <w:t>從資料可見，資訊的傳播超越了空間的限制，不同地區的人民能就其他地區發生的事情表達個人意見，這些超越種族意識的發聲，</w:t>
            </w:r>
            <w:r>
              <w:rPr>
                <w:rFonts w:ascii="新細明體" w:hAnsi="新細明體" w:hint="eastAsia"/>
                <w:szCs w:val="22"/>
                <w:lang w:eastAsia="zh-HK"/>
              </w:rPr>
              <w:t>例如冰桶挑戰促進全球民眾對「漸</w:t>
            </w:r>
            <w:proofErr w:type="gramStart"/>
            <w:r>
              <w:rPr>
                <w:rFonts w:ascii="新細明體" w:hAnsi="新細明體" w:hint="eastAsia"/>
                <w:szCs w:val="22"/>
                <w:lang w:eastAsia="zh-HK"/>
              </w:rPr>
              <w:t>凍人症</w:t>
            </w:r>
            <w:proofErr w:type="gramEnd"/>
            <w:r>
              <w:rPr>
                <w:rFonts w:ascii="新細明體" w:hAnsi="新細明體" w:hint="eastAsia"/>
                <w:szCs w:val="22"/>
                <w:lang w:eastAsia="zh-HK"/>
              </w:rPr>
              <w:t>」患者的關注，促進其對全球公民社會的參與，當全</w:t>
            </w:r>
            <w:r>
              <w:rPr>
                <w:rFonts w:ascii="新細明體" w:hAnsi="新細明體" w:hint="eastAsia"/>
                <w:szCs w:val="22"/>
              </w:rPr>
              <w:t>球</w:t>
            </w:r>
            <w:r>
              <w:rPr>
                <w:rFonts w:ascii="新細明體" w:hAnsi="新細明體" w:hint="eastAsia"/>
                <w:szCs w:val="22"/>
                <w:lang w:eastAsia="zh-HK"/>
              </w:rPr>
              <w:t>民眾關注同樣的全球性議題，</w:t>
            </w:r>
            <w:proofErr w:type="gramStart"/>
            <w:r>
              <w:rPr>
                <w:rFonts w:ascii="新細明體" w:hAnsi="新細明體" w:hint="eastAsia"/>
                <w:szCs w:val="22"/>
                <w:lang w:eastAsia="zh-HK"/>
              </w:rPr>
              <w:t>並因類近</w:t>
            </w:r>
            <w:proofErr w:type="gramEnd"/>
            <w:r>
              <w:rPr>
                <w:rFonts w:ascii="新細明體" w:hAnsi="新細明體" w:hint="eastAsia"/>
                <w:szCs w:val="22"/>
                <w:lang w:eastAsia="zh-HK"/>
              </w:rPr>
              <w:t>的價值(關懷弱小)而行動時，便會從中</w:t>
            </w:r>
            <w:r w:rsidRPr="00DD4E1F">
              <w:rPr>
                <w:rFonts w:ascii="新細明體" w:hAnsi="新細明體" w:hint="eastAsia"/>
                <w:szCs w:val="22"/>
              </w:rPr>
              <w:t>意識到自己擁有世界公民的身份，如同資料B中</w:t>
            </w:r>
            <w:r w:rsidRPr="00DD4E1F">
              <w:rPr>
                <w:rFonts w:ascii="標楷體" w:eastAsia="標楷體" w:hAnsi="標楷體" w:hint="eastAsia"/>
                <w:b/>
                <w:szCs w:val="22"/>
              </w:rPr>
              <w:t>八個國家認同自己是世界公民的百分比均超過</w:t>
            </w:r>
            <w:r w:rsidRPr="00721BEB">
              <w:rPr>
                <w:rFonts w:eastAsia="標楷體"/>
                <w:b/>
                <w:szCs w:val="22"/>
              </w:rPr>
              <w:t>50%</w:t>
            </w:r>
            <w:r w:rsidRPr="00721BEB">
              <w:rPr>
                <w:rFonts w:eastAsia="標楷體"/>
                <w:b/>
                <w:szCs w:val="22"/>
              </w:rPr>
              <w:t>。</w:t>
            </w:r>
          </w:p>
        </w:tc>
        <w:tc>
          <w:tcPr>
            <w:tcW w:w="5358" w:type="dxa"/>
            <w:shd w:val="clear" w:color="auto" w:fill="auto"/>
          </w:tcPr>
          <w:p w:rsidR="00B003C3" w:rsidRDefault="00B003C3" w:rsidP="0064623F">
            <w:pPr>
              <w:rPr>
                <w:b/>
                <w:szCs w:val="22"/>
              </w:rPr>
            </w:pPr>
            <w:r w:rsidRPr="00DD4E1F">
              <w:rPr>
                <w:rFonts w:hint="eastAsia"/>
                <w:b/>
              </w:rPr>
              <w:t>全球化能讓人們</w:t>
            </w:r>
            <w:r>
              <w:rPr>
                <w:rFonts w:hint="eastAsia"/>
                <w:b/>
              </w:rPr>
              <w:t>對</w:t>
            </w:r>
            <w:r w:rsidRPr="00DD4E1F">
              <w:rPr>
                <w:rFonts w:hint="eastAsia"/>
                <w:b/>
                <w:szCs w:val="22"/>
              </w:rPr>
              <w:t>自己擁有世界公民的身份</w:t>
            </w:r>
            <w:r>
              <w:rPr>
                <w:rFonts w:hint="eastAsia"/>
                <w:b/>
                <w:szCs w:val="22"/>
              </w:rPr>
              <w:t>的意識減弱</w:t>
            </w:r>
            <w:r w:rsidRPr="00DD4E1F">
              <w:rPr>
                <w:rFonts w:hint="eastAsia"/>
                <w:b/>
                <w:szCs w:val="22"/>
              </w:rPr>
              <w:t>。</w:t>
            </w:r>
          </w:p>
          <w:p w:rsidR="00B003C3" w:rsidRPr="009202AE" w:rsidRDefault="00B003C3" w:rsidP="00B003C3">
            <w:pPr>
              <w:rPr>
                <w:rFonts w:ascii="新細明體" w:hAnsi="新細明體"/>
              </w:rPr>
            </w:pPr>
            <w:r>
              <w:rPr>
                <w:rFonts w:hint="eastAsia"/>
              </w:rPr>
              <w:t>根據資料</w:t>
            </w:r>
            <w:r>
              <w:t>A</w:t>
            </w:r>
            <w:r>
              <w:rPr>
                <w:rFonts w:hint="eastAsia"/>
              </w:rPr>
              <w:t>，</w:t>
            </w:r>
            <w:r w:rsidRPr="00F7445C">
              <w:rPr>
                <w:rFonts w:ascii="標楷體" w:eastAsia="標楷體" w:hAnsi="標楷體" w:hint="eastAsia"/>
                <w:b/>
                <w:szCs w:val="22"/>
              </w:rPr>
              <w:t>國家的人均生產總值及認同自己是世界公民的百分比成反比關係</w:t>
            </w:r>
            <w:r>
              <w:rPr>
                <w:rFonts w:ascii="標楷體" w:eastAsia="標楷體" w:hAnsi="標楷體" w:hint="eastAsia"/>
                <w:b/>
                <w:szCs w:val="22"/>
              </w:rPr>
              <w:t>，</w:t>
            </w:r>
            <w:r w:rsidRPr="00F7445C">
              <w:rPr>
                <w:rFonts w:hint="eastAsia"/>
              </w:rPr>
              <w:t>從資料</w:t>
            </w:r>
            <w:r w:rsidRPr="00F7445C">
              <w:rPr>
                <w:rFonts w:hint="eastAsia"/>
              </w:rPr>
              <w:t>C</w:t>
            </w:r>
            <w:r w:rsidRPr="00F7445C">
              <w:rPr>
                <w:rFonts w:hint="eastAsia"/>
              </w:rPr>
              <w:t>可見</w:t>
            </w:r>
            <w:r>
              <w:rPr>
                <w:rFonts w:hint="eastAsia"/>
              </w:rPr>
              <w:t>，</w:t>
            </w:r>
            <w:r>
              <w:rPr>
                <w:rFonts w:eastAsia="標楷體"/>
                <w:b/>
                <w:szCs w:val="22"/>
              </w:rPr>
              <w:t>我們</w:t>
            </w:r>
            <w:r w:rsidRPr="00A50B6B">
              <w:rPr>
                <w:rFonts w:eastAsia="標楷體"/>
                <w:b/>
                <w:szCs w:val="22"/>
              </w:rPr>
              <w:t>能目睹歐陸難民潮</w:t>
            </w:r>
            <w:proofErr w:type="gramStart"/>
            <w:r w:rsidRPr="00E14A10">
              <w:rPr>
                <w:rFonts w:eastAsia="標楷體"/>
                <w:b/>
                <w:szCs w:val="22"/>
              </w:rPr>
              <w:t>——</w:t>
            </w:r>
            <w:proofErr w:type="gramEnd"/>
            <w:r w:rsidRPr="00A50B6B">
              <w:rPr>
                <w:rFonts w:eastAsia="標楷體"/>
                <w:b/>
                <w:szCs w:val="22"/>
              </w:rPr>
              <w:t>這股繼二次大戰以來最龐大的人口移動，背後原因除了戰亂推動難民離開國家</w:t>
            </w:r>
            <w:r>
              <w:rPr>
                <w:rFonts w:eastAsia="標楷體" w:hint="eastAsia"/>
                <w:b/>
                <w:szCs w:val="22"/>
              </w:rPr>
              <w:t>，</w:t>
            </w:r>
            <w:r w:rsidRPr="00E14A10">
              <w:rPr>
                <w:rFonts w:eastAsia="標楷體"/>
                <w:b/>
                <w:szCs w:val="22"/>
              </w:rPr>
              <w:t>抱著嚮往而來的大量移民也讓目的地國家備感壓力</w:t>
            </w:r>
            <w:r>
              <w:rPr>
                <w:rFonts w:eastAsia="標楷體" w:hint="eastAsia"/>
                <w:b/>
                <w:szCs w:val="22"/>
              </w:rPr>
              <w:t>，</w:t>
            </w:r>
            <w:r w:rsidRPr="009202AE">
              <w:rPr>
                <w:rFonts w:ascii="新細明體" w:hAnsi="新細明體" w:hint="eastAsia"/>
                <w:szCs w:val="22"/>
              </w:rPr>
              <w:t>資料亦有提及這些目的地國家就是人均生產總值較高的國家，隨著全球經濟一體化，國與國之間的貿易關係變多，令各國</w:t>
            </w:r>
            <w:r>
              <w:rPr>
                <w:rFonts w:ascii="新細明體" w:hAnsi="新細明體" w:hint="eastAsia"/>
                <w:szCs w:val="22"/>
                <w:lang w:eastAsia="zh-HK"/>
              </w:rPr>
              <w:t>人口流動愈趨頻繁</w:t>
            </w:r>
            <w:r w:rsidRPr="00CB78FC">
              <w:rPr>
                <w:rFonts w:ascii="新細明體" w:hAnsi="新細明體" w:hint="eastAsia"/>
                <w:szCs w:val="22"/>
              </w:rPr>
              <w:t>，</w:t>
            </w:r>
            <w:r>
              <w:rPr>
                <w:rFonts w:ascii="新細明體" w:hAnsi="新細明體" w:hint="eastAsia"/>
                <w:szCs w:val="22"/>
                <w:lang w:eastAsia="zh-HK"/>
              </w:rPr>
              <w:t>而這些流動以發展中國家的民眾大量向發達國家移民為主，這些移民對發達國家的社會承載力、公共開支等方面構成龐大壓力，</w:t>
            </w:r>
            <w:r w:rsidRPr="009202AE">
              <w:rPr>
                <w:rFonts w:ascii="新細明體" w:hAnsi="新細明體" w:hint="eastAsia"/>
                <w:szCs w:val="22"/>
              </w:rPr>
              <w:t>令</w:t>
            </w:r>
            <w:r>
              <w:rPr>
                <w:rFonts w:ascii="新細明體" w:hAnsi="新細明體" w:hint="eastAsia"/>
                <w:szCs w:val="22"/>
                <w:lang w:eastAsia="zh-HK"/>
              </w:rPr>
              <w:t>發達國家的</w:t>
            </w:r>
            <w:r>
              <w:rPr>
                <w:rFonts w:eastAsia="標楷體"/>
                <w:b/>
                <w:szCs w:val="22"/>
              </w:rPr>
              <w:t>人民越來越抗拒</w:t>
            </w:r>
            <w:r>
              <w:rPr>
                <w:rFonts w:eastAsia="標楷體" w:hint="eastAsia"/>
                <w:b/>
                <w:szCs w:val="22"/>
                <w:lang w:eastAsia="zh-HK"/>
              </w:rPr>
              <w:t>對欠發達地區提供人道援助的價值觀</w:t>
            </w:r>
            <w:r w:rsidRPr="00CB78FC"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  <w:lang w:eastAsia="zh-HK"/>
              </w:rPr>
              <w:t>反之，</w:t>
            </w:r>
            <w:proofErr w:type="gramEnd"/>
            <w:r>
              <w:rPr>
                <w:rFonts w:eastAsia="標楷體" w:hint="eastAsia"/>
                <w:b/>
                <w:szCs w:val="22"/>
                <w:lang w:eastAsia="zh-HK"/>
              </w:rPr>
              <w:t>欠發達地區卻寄望已發展地區的人道援助，令全球不同地區的民眾產生價值衝突，</w:t>
            </w:r>
            <w:r>
              <w:rPr>
                <w:rFonts w:hint="eastAsia"/>
                <w:lang w:eastAsia="zh-HK"/>
              </w:rPr>
              <w:t>削弱</w:t>
            </w:r>
            <w:r>
              <w:rPr>
                <w:rFonts w:hint="eastAsia"/>
                <w:szCs w:val="22"/>
              </w:rPr>
              <w:t>世界公民</w:t>
            </w:r>
            <w:r w:rsidRPr="00CB78FC">
              <w:rPr>
                <w:rFonts w:hint="eastAsia"/>
                <w:szCs w:val="22"/>
              </w:rPr>
              <w:t>身份</w:t>
            </w:r>
            <w:r>
              <w:rPr>
                <w:rFonts w:hint="eastAsia"/>
                <w:szCs w:val="22"/>
                <w:lang w:eastAsia="zh-HK"/>
              </w:rPr>
              <w:t>認同</w:t>
            </w:r>
            <w:r>
              <w:rPr>
                <w:rFonts w:hint="eastAsia"/>
                <w:szCs w:val="22"/>
              </w:rPr>
              <w:t>的意識</w:t>
            </w:r>
            <w:r w:rsidRPr="00CB78FC">
              <w:rPr>
                <w:rFonts w:hint="eastAsia"/>
                <w:szCs w:val="22"/>
              </w:rPr>
              <w:t>。</w:t>
            </w:r>
          </w:p>
        </w:tc>
      </w:tr>
      <w:tr w:rsidR="00B003C3" w:rsidTr="00B003C3">
        <w:tc>
          <w:tcPr>
            <w:tcW w:w="5104" w:type="dxa"/>
            <w:shd w:val="clear" w:color="auto" w:fill="auto"/>
          </w:tcPr>
          <w:p w:rsidR="00B003C3" w:rsidRDefault="00B003C3" w:rsidP="0064623F">
            <w:pPr>
              <w:rPr>
                <w:b/>
                <w:szCs w:val="22"/>
              </w:rPr>
            </w:pPr>
            <w:r w:rsidRPr="00DD4E1F">
              <w:rPr>
                <w:rFonts w:hint="eastAsia"/>
                <w:b/>
              </w:rPr>
              <w:t>全球化能讓人們</w:t>
            </w:r>
            <w:r>
              <w:rPr>
                <w:rFonts w:hint="eastAsia"/>
                <w:b/>
              </w:rPr>
              <w:t>明白</w:t>
            </w:r>
            <w:r w:rsidRPr="00DD4E1F">
              <w:rPr>
                <w:rFonts w:hint="eastAsia"/>
                <w:b/>
                <w:szCs w:val="22"/>
              </w:rPr>
              <w:t>自己擁有世界公民的身份</w:t>
            </w:r>
            <w:r>
              <w:rPr>
                <w:rFonts w:hint="eastAsia"/>
                <w:b/>
                <w:szCs w:val="22"/>
              </w:rPr>
              <w:t>，並作出相應行為</w:t>
            </w:r>
            <w:r w:rsidRPr="00DD4E1F">
              <w:rPr>
                <w:rFonts w:hint="eastAsia"/>
                <w:b/>
                <w:szCs w:val="22"/>
              </w:rPr>
              <w:t>。</w:t>
            </w:r>
          </w:p>
          <w:p w:rsidR="00B003C3" w:rsidRPr="009202AE" w:rsidRDefault="00B003C3" w:rsidP="0064623F">
            <w:pPr>
              <w:rPr>
                <w:rFonts w:ascii="新細明體" w:hAnsi="新細明體"/>
                <w:b/>
                <w:szCs w:val="22"/>
              </w:rPr>
            </w:pPr>
            <w:r w:rsidRPr="008E7C05">
              <w:rPr>
                <w:rFonts w:hint="eastAsia"/>
              </w:rPr>
              <w:t>根據資料</w:t>
            </w:r>
            <w:r>
              <w:t>B</w:t>
            </w:r>
            <w:r w:rsidRPr="008E7C05">
              <w:rPr>
                <w:rFonts w:hint="eastAsia"/>
              </w:rPr>
              <w:t>，</w:t>
            </w:r>
            <w:r w:rsidRPr="00A50B6B">
              <w:rPr>
                <w:rFonts w:eastAsia="標楷體"/>
                <w:b/>
                <w:szCs w:val="22"/>
              </w:rPr>
              <w:t>便捷的交通讓移民、旅行等移動力增強，越來越低的航空成本，讓中產階級更易於負擔移民行動。</w:t>
            </w:r>
            <w:r w:rsidRPr="009202AE">
              <w:rPr>
                <w:rFonts w:ascii="新細明體" w:hAnsi="新細明體" w:hint="eastAsia"/>
                <w:szCs w:val="22"/>
              </w:rPr>
              <w:t>從資料中，在全球化下，頻繁的交通往來讓</w:t>
            </w:r>
            <w:r>
              <w:rPr>
                <w:rFonts w:ascii="新細明體" w:hAnsi="新細明體" w:hint="eastAsia"/>
                <w:szCs w:val="22"/>
              </w:rPr>
              <w:t>這些中產階級打破疆界的考慮，以世界公民的</w:t>
            </w:r>
            <w:r>
              <w:rPr>
                <w:rFonts w:ascii="新細明體" w:hAnsi="新細明體" w:hint="eastAsia"/>
                <w:szCs w:val="22"/>
                <w:lang w:eastAsia="zh-HK"/>
              </w:rPr>
              <w:t>角度思考</w:t>
            </w:r>
            <w:r>
              <w:rPr>
                <w:rFonts w:ascii="新細明體" w:hAnsi="新細明體" w:hint="eastAsia"/>
                <w:szCs w:val="22"/>
              </w:rPr>
              <w:t>，</w:t>
            </w:r>
            <w:r>
              <w:rPr>
                <w:rFonts w:ascii="新細明體" w:hAnsi="新細明體" w:hint="eastAsia"/>
                <w:szCs w:val="22"/>
                <w:lang w:eastAsia="zh-HK"/>
              </w:rPr>
              <w:t>例如</w:t>
            </w:r>
            <w:r>
              <w:rPr>
                <w:rFonts w:ascii="新細明體" w:hAnsi="新細明體" w:hint="eastAsia"/>
                <w:szCs w:val="22"/>
              </w:rPr>
              <w:t>前往不同地方</w:t>
            </w:r>
            <w:r>
              <w:rPr>
                <w:rFonts w:ascii="新細明體" w:hAnsi="新細明體" w:hint="eastAsia"/>
                <w:szCs w:val="22"/>
                <w:lang w:eastAsia="zh-HK"/>
              </w:rPr>
              <w:t>就業、</w:t>
            </w:r>
            <w:r>
              <w:rPr>
                <w:rFonts w:ascii="新細明體" w:hAnsi="新細明體" w:hint="eastAsia"/>
                <w:szCs w:val="22"/>
              </w:rPr>
              <w:t>定居</w:t>
            </w:r>
            <w:r w:rsidRPr="009202AE">
              <w:rPr>
                <w:rFonts w:ascii="新細明體" w:hAnsi="新細明體" w:hint="eastAsia"/>
                <w:szCs w:val="22"/>
              </w:rPr>
              <w:t>。</w:t>
            </w:r>
          </w:p>
          <w:p w:rsidR="00B003C3" w:rsidRPr="00721BEB" w:rsidRDefault="00B003C3" w:rsidP="0064623F"/>
        </w:tc>
        <w:tc>
          <w:tcPr>
            <w:tcW w:w="5358" w:type="dxa"/>
            <w:shd w:val="clear" w:color="auto" w:fill="auto"/>
          </w:tcPr>
          <w:p w:rsidR="00B003C3" w:rsidRDefault="00B003C3" w:rsidP="0064623F">
            <w:pPr>
              <w:rPr>
                <w:b/>
                <w:szCs w:val="22"/>
              </w:rPr>
            </w:pPr>
            <w:r w:rsidRPr="00DD4E1F">
              <w:rPr>
                <w:rFonts w:hint="eastAsia"/>
                <w:b/>
              </w:rPr>
              <w:t>全球化讓人們</w:t>
            </w:r>
            <w:r>
              <w:rPr>
                <w:rFonts w:hint="eastAsia"/>
                <w:b/>
              </w:rPr>
              <w:t>抗拒</w:t>
            </w:r>
            <w:r w:rsidRPr="00DD4E1F">
              <w:rPr>
                <w:rFonts w:hint="eastAsia"/>
                <w:b/>
                <w:szCs w:val="22"/>
              </w:rPr>
              <w:t>自己擁有世界公民的身份</w:t>
            </w:r>
            <w:r>
              <w:rPr>
                <w:rFonts w:hint="eastAsia"/>
                <w:b/>
                <w:szCs w:val="22"/>
              </w:rPr>
              <w:t>，並作出相應行為</w:t>
            </w:r>
            <w:r w:rsidRPr="00DD4E1F">
              <w:rPr>
                <w:rFonts w:hint="eastAsia"/>
                <w:b/>
                <w:szCs w:val="22"/>
              </w:rPr>
              <w:t>。</w:t>
            </w:r>
          </w:p>
          <w:p w:rsidR="00B003C3" w:rsidRPr="009202AE" w:rsidRDefault="00B003C3" w:rsidP="0064623F">
            <w:pPr>
              <w:rPr>
                <w:rFonts w:ascii="新細明體" w:hAnsi="新細明體"/>
                <w:szCs w:val="22"/>
              </w:rPr>
            </w:pPr>
            <w:r w:rsidRPr="008E7C05">
              <w:rPr>
                <w:rFonts w:hint="eastAsia"/>
              </w:rPr>
              <w:t>根據資料</w:t>
            </w:r>
            <w:r>
              <w:t>B</w:t>
            </w:r>
            <w:r w:rsidRPr="008E7C05">
              <w:rPr>
                <w:rFonts w:hint="eastAsia"/>
              </w:rPr>
              <w:t>，</w:t>
            </w:r>
            <w:r w:rsidRPr="00A50B6B">
              <w:rPr>
                <w:rFonts w:eastAsia="標楷體"/>
                <w:b/>
                <w:szCs w:val="22"/>
              </w:rPr>
              <w:t>便捷的交通讓移民、旅行等移動力增強，所以我們才能目睹歐陸難民潮</w:t>
            </w:r>
            <w:r>
              <w:rPr>
                <w:rFonts w:eastAsia="標楷體" w:hint="eastAsia"/>
                <w:b/>
                <w:szCs w:val="22"/>
              </w:rPr>
              <w:t>，</w:t>
            </w:r>
            <w:r w:rsidRPr="00E14A10">
              <w:rPr>
                <w:rFonts w:eastAsia="標楷體"/>
                <w:b/>
                <w:szCs w:val="22"/>
              </w:rPr>
              <w:t>因為如此，抱著嚮往而來的大量移民也讓目的地國家備感壓力，這裡的人民越來越抗拒「世界是一家」的想法，</w:t>
            </w:r>
            <w:r w:rsidRPr="00A50B6B">
              <w:rPr>
                <w:rFonts w:eastAsia="標楷體"/>
                <w:b/>
                <w:szCs w:val="22"/>
                <w:shd w:val="clear" w:color="auto" w:fill="FFFFFF"/>
              </w:rPr>
              <w:t>德國總理梅克爾開放接收上百萬中東難民，被問及對接受難民的想法時，</w:t>
            </w:r>
            <w:r w:rsidRPr="009202AE">
              <w:rPr>
                <w:rFonts w:ascii="新細明體" w:hAnsi="新細明體" w:hint="eastAsia"/>
                <w:szCs w:val="22"/>
                <w:shd w:val="clear" w:color="auto" w:fill="FFFFFF"/>
              </w:rPr>
              <w:t>只有</w:t>
            </w:r>
            <w:r w:rsidRPr="00A50B6B">
              <w:rPr>
                <w:rFonts w:eastAsia="標楷體"/>
                <w:b/>
                <w:szCs w:val="22"/>
                <w:shd w:val="clear" w:color="auto" w:fill="FFFFFF"/>
              </w:rPr>
              <w:t>54%</w:t>
            </w:r>
            <w:r w:rsidRPr="00A50B6B">
              <w:rPr>
                <w:rFonts w:eastAsia="標楷體"/>
                <w:b/>
                <w:szCs w:val="22"/>
                <w:shd w:val="clear" w:color="auto" w:fill="FFFFFF"/>
              </w:rPr>
              <w:t>的德國民眾呈現歡迎態度；</w:t>
            </w:r>
            <w:r w:rsidRPr="009202AE">
              <w:rPr>
                <w:rFonts w:ascii="新細明體" w:hAnsi="新細明體" w:hint="eastAsia"/>
                <w:szCs w:val="22"/>
                <w:shd w:val="clear" w:color="auto" w:fill="FFFFFF"/>
              </w:rPr>
              <w:t>全球化下，</w:t>
            </w:r>
          </w:p>
          <w:p w:rsidR="00B003C3" w:rsidRPr="009202AE" w:rsidRDefault="00B003C3" w:rsidP="0064623F">
            <w:pPr>
              <w:rPr>
                <w:rFonts w:ascii="新細明體" w:hAnsi="新細明體"/>
              </w:rPr>
            </w:pPr>
            <w:r w:rsidRPr="00EB7314">
              <w:rPr>
                <w:rFonts w:ascii="新細明體" w:hAnsi="新細明體" w:hint="eastAsia"/>
                <w:szCs w:val="22"/>
              </w:rPr>
              <w:t>頻繁的交通往來讓</w:t>
            </w:r>
            <w:r>
              <w:rPr>
                <w:rFonts w:ascii="新細明體" w:hAnsi="新細明體" w:hint="eastAsia"/>
                <w:szCs w:val="22"/>
              </w:rPr>
              <w:t>大量難民遷移至發達國家，令發達國家產生</w:t>
            </w:r>
            <w:proofErr w:type="gramStart"/>
            <w:r>
              <w:rPr>
                <w:rFonts w:ascii="新細明體" w:hAnsi="新細明體" w:hint="eastAsia"/>
                <w:szCs w:val="22"/>
              </w:rPr>
              <w:t>反感，</w:t>
            </w:r>
            <w:proofErr w:type="gramEnd"/>
            <w:r>
              <w:rPr>
                <w:rFonts w:ascii="新細明體" w:hAnsi="新細明體" w:hint="eastAsia"/>
                <w:szCs w:val="22"/>
              </w:rPr>
              <w:t>抗拒世界公民身份，甚至出現一些與世界公民身份相反的行為如</w:t>
            </w:r>
            <w:r w:rsidRPr="00A50B6B">
              <w:rPr>
                <w:rFonts w:eastAsia="標楷體"/>
                <w:b/>
                <w:szCs w:val="22"/>
                <w:shd w:val="clear" w:color="auto" w:fill="FFFFFF"/>
              </w:rPr>
              <w:t>嚴格控制難民人數</w:t>
            </w:r>
            <w:r w:rsidRPr="00D23C8B">
              <w:rPr>
                <w:rFonts w:eastAsia="標楷體" w:hint="eastAsia"/>
                <w:szCs w:val="22"/>
                <w:shd w:val="clear" w:color="auto" w:fill="FFFFFF"/>
              </w:rPr>
              <w:t>。</w:t>
            </w:r>
          </w:p>
        </w:tc>
      </w:tr>
    </w:tbl>
    <w:p w:rsidR="00E55F74" w:rsidRDefault="00E55F74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B003C3" w:rsidRPr="006E4CE0" w:rsidRDefault="00B003C3" w:rsidP="00B003C3">
      <w:pPr>
        <w:tabs>
          <w:tab w:val="left" w:pos="340"/>
        </w:tabs>
        <w:spacing w:line="400" w:lineRule="exact"/>
        <w:jc w:val="center"/>
        <w:rPr>
          <w:rFonts w:asciiTheme="majorEastAsia" w:eastAsiaTheme="majorEastAsia" w:hAnsiTheme="majorEastAsia"/>
          <w:lang w:eastAsia="zh-HK"/>
        </w:rPr>
      </w:pPr>
      <w:r w:rsidRPr="0006704E">
        <w:rPr>
          <w:rFonts w:asciiTheme="majorEastAsia" w:eastAsiaTheme="majorEastAsia" w:hAnsiTheme="majorEastAsia" w:hint="eastAsia"/>
          <w:lang w:eastAsia="zh-HK"/>
        </w:rPr>
        <w:t>---</w:t>
      </w:r>
      <w:proofErr w:type="gramStart"/>
      <w:r w:rsidRPr="0006704E">
        <w:rPr>
          <w:rFonts w:asciiTheme="majorEastAsia" w:eastAsiaTheme="majorEastAsia" w:hAnsiTheme="majorEastAsia" w:hint="eastAsia"/>
          <w:lang w:eastAsia="zh-HK"/>
        </w:rPr>
        <w:t>續後頁</w:t>
      </w:r>
      <w:proofErr w:type="gramEnd"/>
      <w:r w:rsidRPr="0006704E">
        <w:rPr>
          <w:rFonts w:asciiTheme="majorEastAsia" w:eastAsiaTheme="majorEastAsia" w:hAnsiTheme="majorEastAsia" w:hint="eastAsia"/>
          <w:lang w:eastAsia="zh-HK"/>
        </w:rPr>
        <w:t>---</w:t>
      </w:r>
    </w:p>
    <w:p w:rsidR="00B003C3" w:rsidRPr="0006704E" w:rsidRDefault="00B003C3" w:rsidP="00B003C3">
      <w:pPr>
        <w:tabs>
          <w:tab w:val="left" w:pos="340"/>
        </w:tabs>
        <w:spacing w:line="400" w:lineRule="exact"/>
        <w:jc w:val="both"/>
        <w:rPr>
          <w:rFonts w:asciiTheme="majorEastAsia" w:eastAsiaTheme="majorEastAsia" w:hAnsiTheme="majorEastAsia"/>
          <w:sz w:val="28"/>
          <w:szCs w:val="28"/>
          <w:lang w:eastAsia="zh-HK"/>
        </w:rPr>
      </w:pPr>
      <w:r w:rsidRPr="0006704E">
        <w:rPr>
          <w:rFonts w:asciiTheme="majorEastAsia" w:eastAsiaTheme="majorEastAsia" w:hAnsiTheme="majorEastAsia" w:hint="eastAsia"/>
          <w:sz w:val="28"/>
          <w:szCs w:val="28"/>
          <w:lang w:eastAsia="zh-HK"/>
        </w:rPr>
        <w:lastRenderedPageBreak/>
        <w:t xml:space="preserve">中六級  </w:t>
      </w:r>
      <w:r w:rsidRPr="0006704E">
        <w:rPr>
          <w:rFonts w:asciiTheme="majorEastAsia" w:eastAsiaTheme="majorEastAsia" w:hAnsiTheme="majorEastAsia" w:hint="eastAsia"/>
          <w:sz w:val="28"/>
          <w:szCs w:val="28"/>
          <w:lang w:eastAsia="zh-HK"/>
        </w:rPr>
        <w:tab/>
        <w:t xml:space="preserve">                     通識科                         第</w:t>
      </w:r>
      <w:r>
        <w:rPr>
          <w:rFonts w:asciiTheme="majorEastAsia" w:eastAsiaTheme="majorEastAsia" w:hAnsiTheme="majorEastAsia" w:hint="eastAsia"/>
          <w:sz w:val="28"/>
          <w:szCs w:val="28"/>
          <w:lang w:eastAsia="zh-HK"/>
        </w:rPr>
        <w:t>四</w:t>
      </w:r>
      <w:r w:rsidRPr="0006704E">
        <w:rPr>
          <w:rFonts w:asciiTheme="majorEastAsia" w:eastAsiaTheme="majorEastAsia" w:hAnsiTheme="majorEastAsia" w:hint="eastAsia"/>
          <w:sz w:val="28"/>
          <w:szCs w:val="28"/>
          <w:lang w:eastAsia="zh-HK"/>
        </w:rPr>
        <w:t>頁</w:t>
      </w:r>
    </w:p>
    <w:p w:rsidR="00B003C3" w:rsidRPr="0006704E" w:rsidRDefault="00B003C3" w:rsidP="00B003C3">
      <w:pPr>
        <w:rPr>
          <w:sz w:val="28"/>
          <w:szCs w:val="28"/>
        </w:rPr>
      </w:pPr>
      <w:r>
        <w:rPr>
          <w:rFonts w:hint="eastAsia"/>
        </w:rPr>
        <w:t xml:space="preserve">                             </w:t>
      </w:r>
      <w:r>
        <w:t xml:space="preserve">   </w:t>
      </w:r>
      <w:r w:rsidRPr="0006704E">
        <w:rPr>
          <w:sz w:val="28"/>
          <w:szCs w:val="28"/>
        </w:rPr>
        <w:t xml:space="preserve">   </w:t>
      </w:r>
      <w:r w:rsidRPr="0006704E">
        <w:rPr>
          <w:rFonts w:hint="eastAsia"/>
          <w:sz w:val="28"/>
          <w:szCs w:val="28"/>
        </w:rPr>
        <w:t xml:space="preserve"> (</w:t>
      </w:r>
      <w:r w:rsidRPr="0006704E">
        <w:rPr>
          <w:rFonts w:hint="eastAsia"/>
          <w:sz w:val="28"/>
          <w:szCs w:val="28"/>
        </w:rPr>
        <w:t>建議答案</w:t>
      </w:r>
      <w:r w:rsidRPr="0006704E">
        <w:rPr>
          <w:rFonts w:hint="eastAsia"/>
          <w:sz w:val="28"/>
          <w:szCs w:val="28"/>
        </w:rPr>
        <w:t>)</w:t>
      </w:r>
    </w:p>
    <w:p w:rsidR="00B003C3" w:rsidRPr="00B003C3" w:rsidRDefault="00B003C3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tbl>
      <w:tblPr>
        <w:tblW w:w="102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876"/>
      </w:tblGrid>
      <w:tr w:rsidR="00B003C3" w:rsidRPr="00446593" w:rsidTr="0064623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3" w:rsidRPr="00446593" w:rsidRDefault="00B003C3" w:rsidP="00B003C3">
            <w:pPr>
              <w:rPr>
                <w:lang w:eastAsia="zh-HK"/>
              </w:rPr>
            </w:pPr>
            <w:proofErr w:type="gramStart"/>
            <w:r w:rsidRPr="00446593">
              <w:rPr>
                <w:rFonts w:hint="eastAsia"/>
              </w:rPr>
              <w:t>建議評改準則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3" w:rsidRPr="00446593" w:rsidRDefault="00B003C3" w:rsidP="00B003C3">
            <w:r w:rsidRPr="00446593">
              <w:rPr>
                <w:rFonts w:hint="eastAsia"/>
              </w:rPr>
              <w:t>分數</w:t>
            </w:r>
          </w:p>
        </w:tc>
      </w:tr>
      <w:tr w:rsidR="00B003C3" w:rsidTr="0064623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B" w:rsidRPr="00F65ABB" w:rsidRDefault="00F65ABB" w:rsidP="00B003C3">
            <w:pPr>
              <w:widowControl/>
              <w:numPr>
                <w:ilvl w:val="0"/>
                <w:numId w:val="31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清楚及合乎邏輯地解釋及論證一個支持和一個反對這項聲稱的論據；恰當地運用相關資料論證論據；</w:t>
            </w:r>
          </w:p>
          <w:p w:rsidR="00B003C3" w:rsidRPr="00F65ABB" w:rsidRDefault="00B003C3" w:rsidP="00B003C3">
            <w:pPr>
              <w:widowControl/>
              <w:numPr>
                <w:ilvl w:val="0"/>
                <w:numId w:val="31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>
              <w:rPr>
                <w:rFonts w:hint="eastAsia"/>
              </w:rPr>
              <w:t>就不同的知識及概念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例如：文化融合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文化單一化、資訊傳播、頻繁的旅遊及貿易、經濟全球化、公民意識等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，清楚有理、詳盡及合乎邏輯地解釋是否支持該看法；充分理解及恰當運用有關知識及概念，提出充分的說明或例子，提供全面及具批判性的論證。討論結構嚴謹、</w:t>
            </w:r>
            <w:proofErr w:type="gramStart"/>
            <w:r>
              <w:rPr>
                <w:rFonts w:hint="eastAsia"/>
              </w:rPr>
              <w:t>深入、</w:t>
            </w:r>
            <w:proofErr w:type="gramEnd"/>
            <w:r>
              <w:rPr>
                <w:rFonts w:hint="eastAsia"/>
              </w:rPr>
              <w:t>展示高水平的批判分析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3" w:rsidRPr="00446593" w:rsidRDefault="00F65ABB" w:rsidP="00B003C3">
            <w:r>
              <w:t>6</w:t>
            </w:r>
            <w:r w:rsidR="00B003C3" w:rsidRPr="00446593">
              <w:t xml:space="preserve"> – 8</w:t>
            </w:r>
          </w:p>
        </w:tc>
      </w:tr>
      <w:tr w:rsidR="00B003C3" w:rsidTr="0064623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B" w:rsidRPr="00655B12" w:rsidRDefault="00F65ABB" w:rsidP="00F65ABB">
            <w:pPr>
              <w:widowControl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透過從資料取得的大部分相關證據，解釋一個支持這項陳述的論據及一個反對論據，但未能充分參考資料，而該論據的論證可能略為不足；只能就資料，清楚及詳盡地解釋其中一個論據</w:t>
            </w:r>
            <w:r w:rsidRPr="00655B12">
              <w:rPr>
                <w:rFonts w:eastAsia="Times New Roman"/>
                <w:color w:val="000000"/>
                <w:kern w:val="0"/>
              </w:rPr>
              <w:t xml:space="preserve"> </w:t>
            </w:r>
            <w:r w:rsidRPr="00655B12">
              <w:rPr>
                <w:rFonts w:ascii="新細明體" w:hAnsi="新細明體" w:cs="新細明體"/>
                <w:color w:val="000000"/>
                <w:kern w:val="0"/>
              </w:rPr>
              <w:t>（支持或反對）；或所提出的其中一個論據可能毫不相干</w:t>
            </w:r>
          </w:p>
          <w:p w:rsidR="00F65ABB" w:rsidRPr="00F65ABB" w:rsidRDefault="00F65ABB" w:rsidP="00F65ABB">
            <w:pPr>
              <w:widowControl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能運用所提供的資料中部分的相關要點，但不全面</w:t>
            </w:r>
          </w:p>
          <w:p w:rsidR="00B003C3" w:rsidRPr="00F65ABB" w:rsidRDefault="00F65ABB" w:rsidP="00F65ABB">
            <w:pPr>
              <w:widowControl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F65ABB">
              <w:rPr>
                <w:rFonts w:ascii="新細明體" w:hAnsi="新細明體" w:cs="新細明體"/>
                <w:color w:val="000000"/>
                <w:kern w:val="0"/>
              </w:rPr>
              <w:t>討論結構嚴謹，但也有欠</w:t>
            </w:r>
            <w:proofErr w:type="gramStart"/>
            <w:r w:rsidRPr="00F65ABB">
              <w:rPr>
                <w:rFonts w:ascii="新細明體" w:hAnsi="新細明體" w:cs="新細明體"/>
                <w:color w:val="000000"/>
                <w:kern w:val="0"/>
              </w:rPr>
              <w:t>清晰／</w:t>
            </w:r>
            <w:proofErr w:type="gramEnd"/>
            <w:r w:rsidRPr="00F65ABB">
              <w:rPr>
                <w:rFonts w:ascii="新細明體" w:hAnsi="新細明體" w:cs="新細明體"/>
                <w:color w:val="000000"/>
                <w:kern w:val="0"/>
              </w:rPr>
              <w:t>詳盡的地方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C3" w:rsidRPr="00446593" w:rsidRDefault="00F65ABB" w:rsidP="00F65ABB">
            <w:pPr>
              <w:rPr>
                <w:lang w:eastAsia="zh-HK"/>
              </w:rPr>
            </w:pPr>
            <w:r>
              <w:t>3</w:t>
            </w:r>
            <w:r w:rsidR="00B003C3" w:rsidRPr="00446593">
              <w:rPr>
                <w:lang w:eastAsia="zh-HK"/>
              </w:rPr>
              <w:t xml:space="preserve"> – </w:t>
            </w:r>
            <w:r>
              <w:t>5</w:t>
            </w:r>
          </w:p>
        </w:tc>
      </w:tr>
      <w:tr w:rsidR="00F65ABB" w:rsidTr="0064623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B" w:rsidRPr="00655B12" w:rsidRDefault="00F65ABB" w:rsidP="00F65ABB">
            <w:pPr>
              <w:widowControl/>
              <w:numPr>
                <w:ilvl w:val="0"/>
                <w:numId w:val="33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嘗試闡述一個論據（支持或反對），但解釋流於片面；或指出一個或兩個論據，但極少嘗試就資料加以解釋</w:t>
            </w:r>
          </w:p>
          <w:p w:rsidR="00F65ABB" w:rsidRPr="00655B12" w:rsidRDefault="00F65ABB" w:rsidP="00F65ABB">
            <w:pPr>
              <w:widowControl/>
              <w:numPr>
                <w:ilvl w:val="0"/>
                <w:numId w:val="33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只能運用有限的資料，或有時並不恰當地運用資料，例如論據與資料內容不一致</w:t>
            </w:r>
          </w:p>
          <w:p w:rsidR="00F65ABB" w:rsidRPr="00655B12" w:rsidRDefault="00F65ABB" w:rsidP="00F65ABB">
            <w:pPr>
              <w:widowControl/>
              <w:numPr>
                <w:ilvl w:val="0"/>
                <w:numId w:val="33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答案欠深度，結構鬆散／欠缺焦點，表達含糊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B" w:rsidRPr="00446593" w:rsidRDefault="00F65ABB" w:rsidP="00F65ABB">
            <w:r>
              <w:t>1</w:t>
            </w:r>
            <w:r w:rsidRPr="00446593">
              <w:t xml:space="preserve">– </w:t>
            </w:r>
            <w:r>
              <w:t>2</w:t>
            </w:r>
            <w:r w:rsidRPr="00446593">
              <w:t xml:space="preserve"> </w:t>
            </w:r>
          </w:p>
        </w:tc>
      </w:tr>
      <w:tr w:rsidR="00F65ABB" w:rsidTr="0064623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B" w:rsidRPr="00F65ABB" w:rsidRDefault="00F65ABB" w:rsidP="00F65ABB">
            <w:pPr>
              <w:widowControl/>
              <w:numPr>
                <w:ilvl w:val="0"/>
                <w:numId w:val="3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655B12">
              <w:rPr>
                <w:rFonts w:ascii="新細明體" w:hAnsi="新細明體" w:cs="新細明體"/>
                <w:color w:val="000000"/>
                <w:kern w:val="0"/>
              </w:rPr>
              <w:t>未能提出論據／沒有嘗試作答</w:t>
            </w:r>
          </w:p>
          <w:p w:rsidR="00F65ABB" w:rsidRPr="00F65ABB" w:rsidRDefault="00F65ABB" w:rsidP="00F65ABB">
            <w:pPr>
              <w:widowControl/>
              <w:numPr>
                <w:ilvl w:val="0"/>
                <w:numId w:val="3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</w:rPr>
            </w:pPr>
            <w:r w:rsidRPr="00F65ABB">
              <w:rPr>
                <w:rFonts w:ascii="新細明體" w:hAnsi="新細明體" w:cs="新細明體"/>
                <w:color w:val="000000"/>
                <w:kern w:val="0"/>
              </w:rPr>
              <w:t>所答的與題目毫不相干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B" w:rsidRPr="00446593" w:rsidRDefault="00F65ABB" w:rsidP="00F65ABB">
            <w:r w:rsidRPr="00446593">
              <w:t>0</w:t>
            </w:r>
          </w:p>
        </w:tc>
      </w:tr>
    </w:tbl>
    <w:p w:rsidR="006E4CE0" w:rsidRDefault="006E4CE0" w:rsidP="00E55F74">
      <w:pPr>
        <w:adjustRightInd w:val="0"/>
        <w:spacing w:afterLines="50" w:after="120" w:line="0" w:lineRule="atLeast"/>
        <w:contextualSpacing/>
        <w:rPr>
          <w:sz w:val="28"/>
          <w:szCs w:val="28"/>
        </w:rPr>
      </w:pPr>
    </w:p>
    <w:p w:rsidR="003F3DCA" w:rsidRDefault="003F3DCA" w:rsidP="007C0B88">
      <w:pPr>
        <w:tabs>
          <w:tab w:val="left" w:pos="340"/>
        </w:tabs>
        <w:spacing w:line="400" w:lineRule="exact"/>
        <w:jc w:val="both"/>
        <w:rPr>
          <w:rFonts w:asciiTheme="majorEastAsia" w:eastAsiaTheme="majorEastAsia" w:hAnsiTheme="majorEastAsia"/>
          <w:sz w:val="28"/>
          <w:szCs w:val="28"/>
          <w:lang w:eastAsia="zh-HK"/>
        </w:rPr>
      </w:pPr>
    </w:p>
    <w:p w:rsidR="00E55F74" w:rsidRDefault="00E55F74" w:rsidP="007C0B88">
      <w:pPr>
        <w:tabs>
          <w:tab w:val="left" w:pos="340"/>
        </w:tabs>
        <w:spacing w:line="400" w:lineRule="exact"/>
        <w:jc w:val="both"/>
        <w:rPr>
          <w:rFonts w:asciiTheme="majorEastAsia" w:eastAsiaTheme="majorEastAsia" w:hAnsiTheme="majorEastAsia"/>
          <w:sz w:val="28"/>
          <w:szCs w:val="28"/>
          <w:lang w:eastAsia="zh-HK"/>
        </w:rPr>
      </w:pPr>
    </w:p>
    <w:p w:rsidR="006E4CE0" w:rsidRDefault="006E4CE0" w:rsidP="007C0B88">
      <w:pPr>
        <w:tabs>
          <w:tab w:val="left" w:pos="340"/>
        </w:tabs>
        <w:spacing w:line="400" w:lineRule="exact"/>
        <w:jc w:val="both"/>
        <w:rPr>
          <w:rFonts w:asciiTheme="majorEastAsia" w:eastAsiaTheme="majorEastAsia" w:hAnsiTheme="majorEastAsia"/>
          <w:sz w:val="28"/>
          <w:szCs w:val="28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AB6C17" w:rsidRDefault="00AB6C17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B003C3" w:rsidRDefault="00B003C3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B003C3" w:rsidRDefault="00B003C3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B003C3" w:rsidRDefault="00B003C3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B003C3" w:rsidRDefault="00B003C3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B003C3" w:rsidRDefault="00B003C3" w:rsidP="00E66BB0">
      <w:pPr>
        <w:jc w:val="center"/>
        <w:rPr>
          <w:rFonts w:asciiTheme="majorEastAsia" w:eastAsiaTheme="majorEastAsia" w:hAnsiTheme="majorEastAsia"/>
          <w:lang w:eastAsia="zh-HK"/>
        </w:rPr>
      </w:pPr>
    </w:p>
    <w:p w:rsidR="003C4E7C" w:rsidRDefault="003C4E7C" w:rsidP="00C37051">
      <w:pPr>
        <w:rPr>
          <w:rFonts w:asciiTheme="majorEastAsia" w:eastAsiaTheme="majorEastAsia" w:hAnsiTheme="majorEastAsia"/>
          <w:lang w:eastAsia="zh-HK"/>
        </w:rPr>
      </w:pPr>
    </w:p>
    <w:p w:rsidR="00E66BB0" w:rsidRPr="00793EC6" w:rsidRDefault="00E66BB0" w:rsidP="003C4E7C">
      <w:pPr>
        <w:jc w:val="center"/>
      </w:pPr>
      <w:r w:rsidRPr="00E66BB0">
        <w:rPr>
          <w:rFonts w:hint="eastAsia"/>
        </w:rPr>
        <w:t>---</w:t>
      </w:r>
      <w:proofErr w:type="gramStart"/>
      <w:r w:rsidRPr="00E66BB0">
        <w:rPr>
          <w:rFonts w:hint="eastAsia"/>
        </w:rPr>
        <w:t>全卷完</w:t>
      </w:r>
      <w:proofErr w:type="gramEnd"/>
      <w:r w:rsidRPr="00E66BB0">
        <w:rPr>
          <w:rFonts w:hint="eastAsia"/>
        </w:rPr>
        <w:t>---</w:t>
      </w:r>
    </w:p>
    <w:sectPr w:rsidR="00E66BB0" w:rsidRPr="00793EC6" w:rsidSect="00793EC6">
      <w:pgSz w:w="11909" w:h="16834" w:code="9"/>
      <w:pgMar w:top="1134" w:right="1134" w:bottom="1134" w:left="1134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30" w:rsidRDefault="00001530" w:rsidP="007C0B88">
      <w:r>
        <w:separator/>
      </w:r>
    </w:p>
  </w:endnote>
  <w:endnote w:type="continuationSeparator" w:id="0">
    <w:p w:rsidR="00001530" w:rsidRDefault="00001530" w:rsidP="007C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New MingLi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30" w:rsidRDefault="00001530" w:rsidP="007C0B88">
      <w:r>
        <w:separator/>
      </w:r>
    </w:p>
  </w:footnote>
  <w:footnote w:type="continuationSeparator" w:id="0">
    <w:p w:rsidR="00001530" w:rsidRDefault="00001530" w:rsidP="007C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9E8"/>
    <w:multiLevelType w:val="hybridMultilevel"/>
    <w:tmpl w:val="4060196A"/>
    <w:lvl w:ilvl="0" w:tplc="56FC908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20D44"/>
    <w:multiLevelType w:val="multilevel"/>
    <w:tmpl w:val="1D1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7251D"/>
    <w:multiLevelType w:val="multilevel"/>
    <w:tmpl w:val="2B7A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F3EEB"/>
    <w:multiLevelType w:val="multilevel"/>
    <w:tmpl w:val="1B44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F1114"/>
    <w:multiLevelType w:val="hybridMultilevel"/>
    <w:tmpl w:val="78E6803A"/>
    <w:lvl w:ilvl="0" w:tplc="10DC4F0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F733D"/>
    <w:multiLevelType w:val="multilevel"/>
    <w:tmpl w:val="545C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85887"/>
    <w:multiLevelType w:val="multilevel"/>
    <w:tmpl w:val="1628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60527"/>
    <w:multiLevelType w:val="hybridMultilevel"/>
    <w:tmpl w:val="6120A55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2A414CDF"/>
    <w:multiLevelType w:val="multilevel"/>
    <w:tmpl w:val="B65C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E4E5B"/>
    <w:multiLevelType w:val="multilevel"/>
    <w:tmpl w:val="9534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40370"/>
    <w:multiLevelType w:val="multilevel"/>
    <w:tmpl w:val="04F6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7168E"/>
    <w:multiLevelType w:val="multilevel"/>
    <w:tmpl w:val="1AE6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5A5F58"/>
    <w:multiLevelType w:val="multilevel"/>
    <w:tmpl w:val="E7D8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2768C"/>
    <w:multiLevelType w:val="multilevel"/>
    <w:tmpl w:val="5994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F7266"/>
    <w:multiLevelType w:val="multilevel"/>
    <w:tmpl w:val="EBFE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EB0C0C"/>
    <w:multiLevelType w:val="multilevel"/>
    <w:tmpl w:val="9096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F5726"/>
    <w:multiLevelType w:val="multilevel"/>
    <w:tmpl w:val="0C3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E47A8F"/>
    <w:multiLevelType w:val="multilevel"/>
    <w:tmpl w:val="0FB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24966"/>
    <w:multiLevelType w:val="hybridMultilevel"/>
    <w:tmpl w:val="455A22C8"/>
    <w:lvl w:ilvl="0" w:tplc="3C26006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776D47"/>
    <w:multiLevelType w:val="multilevel"/>
    <w:tmpl w:val="1336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35555"/>
    <w:multiLevelType w:val="hybridMultilevel"/>
    <w:tmpl w:val="9C6A0A80"/>
    <w:lvl w:ilvl="0" w:tplc="10DC4F0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83054A"/>
    <w:multiLevelType w:val="multilevel"/>
    <w:tmpl w:val="377E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685D4D"/>
    <w:multiLevelType w:val="multilevel"/>
    <w:tmpl w:val="2E3A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A36454"/>
    <w:multiLevelType w:val="hybridMultilevel"/>
    <w:tmpl w:val="4F22511A"/>
    <w:lvl w:ilvl="0" w:tplc="CD4A12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446A3F"/>
    <w:multiLevelType w:val="hybridMultilevel"/>
    <w:tmpl w:val="87264FD2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5" w15:restartNumberingAfterBreak="0">
    <w:nsid w:val="6E527CEC"/>
    <w:multiLevelType w:val="hybridMultilevel"/>
    <w:tmpl w:val="0F5CAAA0"/>
    <w:lvl w:ilvl="0" w:tplc="4DE85674">
      <w:start w:val="2"/>
      <w:numFmt w:val="lowerLetter"/>
      <w:lvlText w:val="%1)"/>
      <w:lvlJc w:val="left"/>
      <w:pPr>
        <w:ind w:left="360" w:hanging="360"/>
      </w:pPr>
      <w:rPr>
        <w:rFonts w:ascii="新細明體" w:eastAsia="新細明體" w:hAnsi="新細明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726C8B"/>
    <w:multiLevelType w:val="multilevel"/>
    <w:tmpl w:val="A5C4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F22DDD"/>
    <w:multiLevelType w:val="multilevel"/>
    <w:tmpl w:val="7BF8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045CF3"/>
    <w:multiLevelType w:val="multilevel"/>
    <w:tmpl w:val="2072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1F615A"/>
    <w:multiLevelType w:val="hybridMultilevel"/>
    <w:tmpl w:val="7A9A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664EB"/>
    <w:multiLevelType w:val="multilevel"/>
    <w:tmpl w:val="B1D0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5D761D"/>
    <w:multiLevelType w:val="hybridMultilevel"/>
    <w:tmpl w:val="ABBCCF9E"/>
    <w:lvl w:ilvl="0" w:tplc="10DC4F0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E747A5"/>
    <w:multiLevelType w:val="multilevel"/>
    <w:tmpl w:val="8EFE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4"/>
  </w:num>
  <w:num w:numId="4">
    <w:abstractNumId w:val="26"/>
  </w:num>
  <w:num w:numId="5">
    <w:abstractNumId w:val="15"/>
  </w:num>
  <w:num w:numId="6">
    <w:abstractNumId w:val="12"/>
  </w:num>
  <w:num w:numId="7">
    <w:abstractNumId w:val="2"/>
  </w:num>
  <w:num w:numId="8">
    <w:abstractNumId w:val="3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</w:num>
  <w:num w:numId="10">
    <w:abstractNumId w:val="8"/>
  </w:num>
  <w:num w:numId="11">
    <w:abstractNumId w:val="27"/>
  </w:num>
  <w:num w:numId="12">
    <w:abstractNumId w:val="32"/>
  </w:num>
  <w:num w:numId="13">
    <w:abstractNumId w:val="3"/>
  </w:num>
  <w:num w:numId="14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13"/>
  </w:num>
  <w:num w:numId="16">
    <w:abstractNumId w:val="11"/>
  </w:num>
  <w:num w:numId="17">
    <w:abstractNumId w:val="19"/>
  </w:num>
  <w:num w:numId="18">
    <w:abstractNumId w:val="1"/>
  </w:num>
  <w:num w:numId="19">
    <w:abstractNumId w:val="5"/>
  </w:num>
  <w:num w:numId="20">
    <w:abstractNumId w:val="22"/>
  </w:num>
  <w:num w:numId="21">
    <w:abstractNumId w:val="25"/>
  </w:num>
  <w:num w:numId="22">
    <w:abstractNumId w:val="4"/>
  </w:num>
  <w:num w:numId="23">
    <w:abstractNumId w:val="31"/>
  </w:num>
  <w:num w:numId="24">
    <w:abstractNumId w:val="29"/>
  </w:num>
  <w:num w:numId="25">
    <w:abstractNumId w:val="20"/>
  </w:num>
  <w:num w:numId="26">
    <w:abstractNumId w:val="0"/>
  </w:num>
  <w:num w:numId="27">
    <w:abstractNumId w:val="24"/>
  </w:num>
  <w:num w:numId="28">
    <w:abstractNumId w:val="23"/>
  </w:num>
  <w:num w:numId="29">
    <w:abstractNumId w:val="7"/>
  </w:num>
  <w:num w:numId="30">
    <w:abstractNumId w:val="18"/>
  </w:num>
  <w:num w:numId="31">
    <w:abstractNumId w:val="10"/>
  </w:num>
  <w:num w:numId="32">
    <w:abstractNumId w:val="28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C6"/>
    <w:rsid w:val="00001530"/>
    <w:rsid w:val="0006704E"/>
    <w:rsid w:val="00076CA2"/>
    <w:rsid w:val="000F52B0"/>
    <w:rsid w:val="00186F6C"/>
    <w:rsid w:val="001B2039"/>
    <w:rsid w:val="00202A07"/>
    <w:rsid w:val="00235950"/>
    <w:rsid w:val="002410D2"/>
    <w:rsid w:val="002903A7"/>
    <w:rsid w:val="002A008D"/>
    <w:rsid w:val="00324379"/>
    <w:rsid w:val="003C4E7C"/>
    <w:rsid w:val="003F3DCA"/>
    <w:rsid w:val="00413C03"/>
    <w:rsid w:val="00420C3C"/>
    <w:rsid w:val="004E5B58"/>
    <w:rsid w:val="004F099D"/>
    <w:rsid w:val="00555CA9"/>
    <w:rsid w:val="005C37C1"/>
    <w:rsid w:val="005F3053"/>
    <w:rsid w:val="00606192"/>
    <w:rsid w:val="00635361"/>
    <w:rsid w:val="0065738E"/>
    <w:rsid w:val="006E4CE0"/>
    <w:rsid w:val="00727F45"/>
    <w:rsid w:val="00793EC6"/>
    <w:rsid w:val="007B1A92"/>
    <w:rsid w:val="007C0B88"/>
    <w:rsid w:val="007C2D5D"/>
    <w:rsid w:val="007D7AEB"/>
    <w:rsid w:val="008303BC"/>
    <w:rsid w:val="008714E8"/>
    <w:rsid w:val="008D174E"/>
    <w:rsid w:val="009A2E52"/>
    <w:rsid w:val="00AB6C17"/>
    <w:rsid w:val="00AB7143"/>
    <w:rsid w:val="00B003C3"/>
    <w:rsid w:val="00B4599C"/>
    <w:rsid w:val="00BE026C"/>
    <w:rsid w:val="00C37051"/>
    <w:rsid w:val="00E55F74"/>
    <w:rsid w:val="00E62F5C"/>
    <w:rsid w:val="00E66BB0"/>
    <w:rsid w:val="00EB4F09"/>
    <w:rsid w:val="00F13485"/>
    <w:rsid w:val="00F65ABB"/>
    <w:rsid w:val="00F67FCF"/>
    <w:rsid w:val="00F9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98C3B"/>
  <w15:chartTrackingRefBased/>
  <w15:docId w15:val="{8158277C-52C1-4741-9192-7B06B05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B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B88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C0B88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a0"/>
    <w:rsid w:val="007C0B88"/>
  </w:style>
  <w:style w:type="paragraph" w:styleId="a7">
    <w:name w:val="Balloon Text"/>
    <w:basedOn w:val="a"/>
    <w:link w:val="a8"/>
    <w:uiPriority w:val="99"/>
    <w:semiHidden/>
    <w:unhideWhenUsed/>
    <w:rsid w:val="00657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573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E55F74"/>
    <w:pPr>
      <w:tabs>
        <w:tab w:val="left" w:pos="340"/>
      </w:tabs>
      <w:spacing w:line="400" w:lineRule="exact"/>
      <w:ind w:leftChars="200" w:left="480"/>
      <w:jc w:val="both"/>
    </w:pPr>
    <w:rPr>
      <w:rFonts w:eastAsia="華康中明體"/>
    </w:rPr>
  </w:style>
  <w:style w:type="character" w:styleId="aa">
    <w:name w:val="Strong"/>
    <w:uiPriority w:val="22"/>
    <w:qFormat/>
    <w:rsid w:val="00B459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999C9-3E9F-4FBF-9F3F-7D4892F1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HoChingYin</dc:creator>
  <cp:keywords/>
  <dc:description/>
  <cp:lastModifiedBy>WongChuenFung</cp:lastModifiedBy>
  <cp:revision>12</cp:revision>
  <cp:lastPrinted>2020-10-05T08:34:00Z</cp:lastPrinted>
  <dcterms:created xsi:type="dcterms:W3CDTF">2021-09-21T06:38:00Z</dcterms:created>
  <dcterms:modified xsi:type="dcterms:W3CDTF">2022-10-03T01:00:00Z</dcterms:modified>
</cp:coreProperties>
</file>